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FE282" w14:textId="77777777" w:rsidR="0039300C" w:rsidRPr="00E22187" w:rsidRDefault="00CD3CBF" w:rsidP="00EC6CCC">
      <w:r>
        <w:rPr>
          <w:noProof/>
        </w:rPr>
        <w:drawing>
          <wp:inline distT="0" distB="0" distL="0" distR="0" wp14:anchorId="33A620CF" wp14:editId="07457214">
            <wp:extent cx="5943600" cy="840740"/>
            <wp:effectExtent l="0" t="0" r="0" b="0"/>
            <wp:docPr id="1" name="Picture 1" descr="California Water Boards. Gavin Newsom, Governor. Yana Garcia, Secretary for Environment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ifornia Water Boards. Gavin Newsom, Governor. Yana Garcia, Secretary for Environmental Protec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40740"/>
                    </a:xfrm>
                    <a:prstGeom prst="rect">
                      <a:avLst/>
                    </a:prstGeom>
                    <a:noFill/>
                    <a:ln>
                      <a:noFill/>
                    </a:ln>
                  </pic:spPr>
                </pic:pic>
              </a:graphicData>
            </a:graphic>
          </wp:inline>
        </w:drawing>
      </w:r>
    </w:p>
    <w:p w14:paraId="466C460A" w14:textId="6F2928E5" w:rsidR="00EC6CCC" w:rsidRPr="00BF39C4" w:rsidRDefault="00CD6222" w:rsidP="00BF39C4">
      <w:pPr>
        <w:pStyle w:val="Heading1"/>
        <w:jc w:val="center"/>
      </w:pPr>
      <w:r w:rsidRPr="00CD6222">
        <w:t xml:space="preserve">San Francisco Bay </w:t>
      </w:r>
      <w:r w:rsidRPr="00275080">
        <w:t>Regional</w:t>
      </w:r>
      <w:r w:rsidRPr="00CD6222">
        <w:t xml:space="preserve"> Water Quality Control Board</w:t>
      </w:r>
    </w:p>
    <w:p w14:paraId="42C7C5AC" w14:textId="77777777" w:rsidR="00EC6CCC" w:rsidRPr="00917EF6" w:rsidRDefault="00EC6CCC" w:rsidP="00BF39C4">
      <w:pPr>
        <w:jc w:val="center"/>
        <w:rPr>
          <w:rFonts w:eastAsia="SimSun" w:cs="Arial"/>
          <w:b/>
          <w:bCs/>
          <w:sz w:val="40"/>
          <w:szCs w:val="40"/>
          <w:lang w:eastAsia="ja-JP"/>
        </w:rPr>
      </w:pPr>
    </w:p>
    <w:p w14:paraId="4AD0E2B6" w14:textId="77777777" w:rsidR="007F1E4A" w:rsidRDefault="00EC6CCC" w:rsidP="004F2AB6">
      <w:pPr>
        <w:jc w:val="center"/>
        <w:rPr>
          <w:rFonts w:eastAsia="SimSun" w:cs="Arial"/>
          <w:b/>
          <w:bCs/>
          <w:sz w:val="40"/>
          <w:szCs w:val="40"/>
          <w:lang w:eastAsia="ja-JP"/>
        </w:rPr>
      </w:pPr>
      <w:r w:rsidRPr="18885A27">
        <w:rPr>
          <w:rFonts w:eastAsia="SimSun" w:cs="Arial"/>
          <w:b/>
          <w:bCs/>
          <w:sz w:val="40"/>
          <w:szCs w:val="40"/>
          <w:lang w:eastAsia="ja-JP"/>
        </w:rPr>
        <w:t xml:space="preserve">2025 Lake Merritt Water Quality Monitoring Plan </w:t>
      </w:r>
    </w:p>
    <w:p w14:paraId="30445F3A" w14:textId="7662E3FA" w:rsidR="00E06A02" w:rsidRDefault="00EC6CCC" w:rsidP="004F2AB6">
      <w:pPr>
        <w:jc w:val="center"/>
        <w:rPr>
          <w:rFonts w:eastAsia="SimSun" w:cs="Arial"/>
          <w:b/>
          <w:bCs/>
          <w:sz w:val="40"/>
          <w:szCs w:val="40"/>
          <w:lang w:eastAsia="ja-JP"/>
        </w:rPr>
      </w:pPr>
      <w:r w:rsidRPr="18885A27">
        <w:rPr>
          <w:rFonts w:eastAsia="SimSun" w:cs="Arial"/>
          <w:b/>
          <w:bCs/>
          <w:sz w:val="40"/>
          <w:szCs w:val="40"/>
          <w:lang w:eastAsia="ja-JP"/>
        </w:rPr>
        <w:t>DRAFT</w:t>
      </w:r>
    </w:p>
    <w:p w14:paraId="200F817A" w14:textId="2F433445" w:rsidR="00E06A02" w:rsidRPr="004F2AB6" w:rsidRDefault="00BF39C4" w:rsidP="004F2AB6">
      <w:pPr>
        <w:jc w:val="center"/>
        <w:rPr>
          <w:rFonts w:eastAsia="SimSun" w:cs="Arial"/>
          <w:b/>
          <w:bCs/>
          <w:sz w:val="40"/>
          <w:szCs w:val="40"/>
          <w:lang w:eastAsia="ja-JP"/>
        </w:rPr>
      </w:pPr>
      <w:r>
        <w:rPr>
          <w:noProof/>
        </w:rPr>
        <w:drawing>
          <wp:inline distT="0" distB="0" distL="0" distR="0" wp14:anchorId="3844B988" wp14:editId="3ABDF388">
            <wp:extent cx="4682652" cy="3512489"/>
            <wp:effectExtent l="0" t="0" r="3810" b="0"/>
            <wp:docPr id="1155315503" name="Picture 3" descr="A body of water with building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2652" cy="3512489"/>
                    </a:xfrm>
                    <a:prstGeom prst="rect">
                      <a:avLst/>
                    </a:prstGeom>
                  </pic:spPr>
                </pic:pic>
              </a:graphicData>
            </a:graphic>
          </wp:inline>
        </w:drawing>
      </w:r>
    </w:p>
    <w:p w14:paraId="303C749A" w14:textId="77777777" w:rsidR="004F1BD2" w:rsidRDefault="004F1BD2" w:rsidP="00BF39C4">
      <w:pPr>
        <w:jc w:val="center"/>
        <w:rPr>
          <w:rFonts w:eastAsia="SimSun"/>
          <w:sz w:val="32"/>
          <w:szCs w:val="32"/>
          <w:lang w:eastAsia="ja-JP"/>
        </w:rPr>
      </w:pPr>
    </w:p>
    <w:p w14:paraId="6A743658" w14:textId="5B900E8E" w:rsidR="00EC6CCC" w:rsidRPr="00917EF6" w:rsidRDefault="002901EE" w:rsidP="00BF39C4">
      <w:pPr>
        <w:jc w:val="center"/>
        <w:rPr>
          <w:rFonts w:eastAsia="SimSun"/>
          <w:caps/>
          <w:sz w:val="32"/>
          <w:szCs w:val="32"/>
          <w:lang w:eastAsia="ja-JP"/>
        </w:rPr>
      </w:pPr>
      <w:r>
        <w:rPr>
          <w:rFonts w:eastAsia="SimSun"/>
          <w:sz w:val="32"/>
          <w:szCs w:val="32"/>
          <w:lang w:eastAsia="ja-JP"/>
        </w:rPr>
        <w:t>June</w:t>
      </w:r>
      <w:r w:rsidRPr="00917EF6">
        <w:rPr>
          <w:rFonts w:eastAsia="SimSun"/>
          <w:sz w:val="32"/>
          <w:szCs w:val="32"/>
          <w:lang w:eastAsia="ja-JP"/>
        </w:rPr>
        <w:t xml:space="preserve"> </w:t>
      </w:r>
      <w:r w:rsidR="00EC6CCC" w:rsidRPr="00917EF6">
        <w:rPr>
          <w:rFonts w:eastAsia="SimSun"/>
          <w:sz w:val="32"/>
          <w:szCs w:val="32"/>
          <w:lang w:eastAsia="ja-JP"/>
        </w:rPr>
        <w:t>2025</w:t>
      </w:r>
    </w:p>
    <w:p w14:paraId="0755AF4E" w14:textId="77777777" w:rsidR="00EC6CCC" w:rsidRDefault="00EC6CCC" w:rsidP="00EC6CCC">
      <w:pPr>
        <w:pStyle w:val="Title"/>
      </w:pPr>
      <w:r>
        <w:br w:type="page"/>
      </w:r>
    </w:p>
    <w:p w14:paraId="5A70C799" w14:textId="6650F5B4" w:rsidR="003B72B5" w:rsidRDefault="00EC6CCC" w:rsidP="00EC6CCC">
      <w:pPr>
        <w:pStyle w:val="Heading1"/>
        <w:numPr>
          <w:ilvl w:val="0"/>
          <w:numId w:val="2"/>
        </w:numPr>
      </w:pPr>
      <w:r>
        <w:lastRenderedPageBreak/>
        <w:t>Introduction</w:t>
      </w:r>
    </w:p>
    <w:p w14:paraId="3D071F23" w14:textId="49523802" w:rsidR="00EC6CCC" w:rsidRDefault="00EC6CCC" w:rsidP="00EC6CCC">
      <w:r>
        <w:t>This document outlines the proposed 2025 Water Quality Monitoring Plan for Lake Merritt. Building upon data collected from 2023 to the present, the plan integrates both ongoing and updated monitoring strategies to assess lake conditions, with a particular focus on dissolved oxygen and nutrient dynamics. The proposed approach includes fixed-station continuous monitoring, nutrient water column grab sampling, and targeted dissolved oxygen monitoring to evaluate the effectiveness of the Hypolimnetic Oxygenation System (HOS). This plan also incorporates initial input from the Water Board-funded Technical Advisory Committee (TAC), based on discussions during our first meeting</w:t>
      </w:r>
      <w:r w:rsidR="5D3BAF9F">
        <w:t xml:space="preserve"> </w:t>
      </w:r>
      <w:r w:rsidR="004A3710">
        <w:t xml:space="preserve">with the TAC </w:t>
      </w:r>
      <w:r w:rsidR="5D3BAF9F">
        <w:t xml:space="preserve">on May </w:t>
      </w:r>
      <w:r w:rsidR="560BDAB2">
        <w:t>16</w:t>
      </w:r>
      <w:r w:rsidR="5D3BAF9F">
        <w:t>, 2025</w:t>
      </w:r>
      <w:r>
        <w:t>. Overall, the monitoring strategy is intended to support data-driven lake management recommendations developed in collaboration with the TAC.</w:t>
      </w:r>
    </w:p>
    <w:p w14:paraId="2E44459A" w14:textId="23279318" w:rsidR="00EC6CCC" w:rsidRDefault="00EC6CCC" w:rsidP="00EC6CCC">
      <w:pPr>
        <w:pStyle w:val="Heading1"/>
        <w:numPr>
          <w:ilvl w:val="0"/>
          <w:numId w:val="2"/>
        </w:numPr>
      </w:pPr>
      <w:r>
        <w:t>Water Quality Parameters and Monitoring Stations</w:t>
      </w:r>
    </w:p>
    <w:p w14:paraId="5CBEA639" w14:textId="5C9F8542" w:rsidR="00EC6CCC" w:rsidRDefault="00EC6CCC" w:rsidP="00EC6CCC">
      <w:r>
        <w:t xml:space="preserve">For 2025, Lake Tech Stations 1, 2, and 3 will remain at their current locations </w:t>
      </w:r>
      <w:r w:rsidR="20D9871C">
        <w:t xml:space="preserve">with funding from the City of Oakland </w:t>
      </w:r>
      <w:r>
        <w:t>(Figure 1). The following water quality parameters will be monitored at each station: dissolved oxygen (DO), temperature, conductivity, chlorophyll-a, and turbidity. Measurements will be taken at two depths at each station: (</w:t>
      </w:r>
      <w:proofErr w:type="spellStart"/>
      <w:r>
        <w:t>i</w:t>
      </w:r>
      <w:proofErr w:type="spellEnd"/>
      <w:r>
        <w:t xml:space="preserve">) 3 feet below the lake surface and (ii) 1.5 feet above the lakebed to capture both surface and bottom water conditions. The average depth of Lake Merritt is 8-10 feet depending on tidal levels. </w:t>
      </w:r>
    </w:p>
    <w:p w14:paraId="18FBBD43" w14:textId="52BF349D" w:rsidR="00EC6CCC" w:rsidRPr="00EC6CCC" w:rsidRDefault="00EC6CCC" w:rsidP="00EC6CCC">
      <w:r w:rsidRPr="00EC6CCC">
        <w:t xml:space="preserve">From June through October 2024, the Water Board deployed </w:t>
      </w:r>
      <w:proofErr w:type="gramStart"/>
      <w:r w:rsidRPr="00EC6CCC">
        <w:t>sondes</w:t>
      </w:r>
      <w:proofErr w:type="gramEnd"/>
      <w:r w:rsidRPr="00EC6CCC">
        <w:t xml:space="preserve"> at Stations A and B. For 2025, we propose that the City of Oakland move Station 4 (Rover) to Water Board Station A starting June 2025 (see Figure 1). Water Board Station A is located near the center of the lake and represents one of the deepest areas, making it an important water quality monitoring station. </w:t>
      </w:r>
    </w:p>
    <w:p w14:paraId="0C98840B" w14:textId="24483144" w:rsidR="00EC6CCC" w:rsidRPr="00EC6CCC" w:rsidRDefault="00EC6CCC" w:rsidP="00EC6CCC">
      <w:r>
        <w:t xml:space="preserve">Additionally, </w:t>
      </w:r>
      <w:r w:rsidR="48B601EC">
        <w:t xml:space="preserve">using Water Board funding, </w:t>
      </w:r>
      <w:r>
        <w:t xml:space="preserve">we propose installing the Submersible Ultraviolet Nitrate Analyzer (SUNA) sensor at Water Board Station A during the same </w:t>
      </w:r>
      <w:proofErr w:type="gramStart"/>
      <w:r>
        <w:t>time period</w:t>
      </w:r>
      <w:proofErr w:type="gramEnd"/>
      <w:r>
        <w:t xml:space="preserve"> to support continuous nitrate monitoring from June to October 2025. This addition will provide critical data on nutrient dynamics, especially during summer algae bloom events, and help support ongoing dissolved oxygen assessments. </w:t>
      </w:r>
    </w:p>
    <w:p w14:paraId="6016B31B" w14:textId="20B038BB" w:rsidR="00917EF6" w:rsidRPr="00917EF6" w:rsidRDefault="00EC6CCC" w:rsidP="00917EF6">
      <w:r>
        <w:t xml:space="preserve">In March 2025, </w:t>
      </w:r>
      <w:r w:rsidR="6D24B8C2">
        <w:t xml:space="preserve">using City of Oakland funding, </w:t>
      </w:r>
      <w:r>
        <w:t xml:space="preserve">Lake Tech installed pressure transducers to help assess tide gate operations, including </w:t>
      </w:r>
      <w:proofErr w:type="gramStart"/>
      <w:r>
        <w:t>timing of openings</w:t>
      </w:r>
      <w:proofErr w:type="gramEnd"/>
      <w:r>
        <w:t xml:space="preserve"> and closures. This information is essential for understanding how tide gate activity influences water quality in Lake Merritt. The pressure transducers will continue to operate year-round to provide continuous data on water level fluctuations.</w:t>
      </w:r>
    </w:p>
    <w:p w14:paraId="4F67E2EF" w14:textId="5F79C3FD" w:rsidR="00EC6CCC" w:rsidRDefault="00EC6CCC" w:rsidP="00917EF6">
      <w:pPr>
        <w:spacing w:after="0"/>
        <w:jc w:val="center"/>
      </w:pPr>
      <w:r w:rsidRPr="00E60CCE">
        <w:rPr>
          <w:noProof/>
        </w:rPr>
        <w:lastRenderedPageBreak/>
        <w:drawing>
          <wp:inline distT="0" distB="0" distL="0" distR="0" wp14:anchorId="5D60A098" wp14:editId="5B9F68D2">
            <wp:extent cx="5943600" cy="4077970"/>
            <wp:effectExtent l="0" t="0" r="0" b="0"/>
            <wp:docPr id="1441514794"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14794" name="Picture 1" descr="Map&#10;&#10;AI-generated content may be incorrect."/>
                    <pic:cNvPicPr/>
                  </pic:nvPicPr>
                  <pic:blipFill>
                    <a:blip r:embed="rId13"/>
                    <a:stretch>
                      <a:fillRect/>
                    </a:stretch>
                  </pic:blipFill>
                  <pic:spPr>
                    <a:xfrm>
                      <a:off x="0" y="0"/>
                      <a:ext cx="5943600" cy="4077970"/>
                    </a:xfrm>
                    <a:prstGeom prst="rect">
                      <a:avLst/>
                    </a:prstGeom>
                  </pic:spPr>
                </pic:pic>
              </a:graphicData>
            </a:graphic>
          </wp:inline>
        </w:drawing>
      </w:r>
    </w:p>
    <w:p w14:paraId="49EB8BC2" w14:textId="613DFC6E" w:rsidR="00EC6CCC" w:rsidRDefault="00EC6CCC" w:rsidP="00EC6CCC">
      <w:pPr>
        <w:pStyle w:val="Caption"/>
        <w:rPr>
          <w:i w:val="0"/>
          <w:iCs w:val="0"/>
          <w:color w:val="auto"/>
          <w:sz w:val="24"/>
          <w:szCs w:val="24"/>
        </w:rPr>
      </w:pPr>
      <w:r w:rsidRPr="00EC6CCC">
        <w:rPr>
          <w:b/>
          <w:bCs/>
          <w:i w:val="0"/>
          <w:iCs w:val="0"/>
          <w:color w:val="auto"/>
          <w:sz w:val="24"/>
          <w:szCs w:val="24"/>
        </w:rPr>
        <w:t xml:space="preserve">Figure </w:t>
      </w:r>
      <w:r w:rsidRPr="00EC6CCC">
        <w:rPr>
          <w:b/>
          <w:bCs/>
          <w:i w:val="0"/>
          <w:iCs w:val="0"/>
          <w:color w:val="auto"/>
          <w:sz w:val="24"/>
          <w:szCs w:val="24"/>
        </w:rPr>
        <w:fldChar w:fldCharType="begin"/>
      </w:r>
      <w:r w:rsidRPr="00EC6CCC">
        <w:rPr>
          <w:b/>
          <w:bCs/>
          <w:i w:val="0"/>
          <w:iCs w:val="0"/>
          <w:color w:val="auto"/>
          <w:sz w:val="24"/>
          <w:szCs w:val="24"/>
        </w:rPr>
        <w:instrText xml:space="preserve"> SEQ Figure \* ARABIC </w:instrText>
      </w:r>
      <w:r w:rsidRPr="00EC6CCC">
        <w:rPr>
          <w:b/>
          <w:bCs/>
          <w:i w:val="0"/>
          <w:iCs w:val="0"/>
          <w:color w:val="auto"/>
          <w:sz w:val="24"/>
          <w:szCs w:val="24"/>
        </w:rPr>
        <w:fldChar w:fldCharType="separate"/>
      </w:r>
      <w:r w:rsidR="00917EF6">
        <w:rPr>
          <w:b/>
          <w:bCs/>
          <w:i w:val="0"/>
          <w:iCs w:val="0"/>
          <w:noProof/>
          <w:color w:val="auto"/>
          <w:sz w:val="24"/>
          <w:szCs w:val="24"/>
        </w:rPr>
        <w:t>1</w:t>
      </w:r>
      <w:r w:rsidRPr="00EC6CCC">
        <w:rPr>
          <w:b/>
          <w:bCs/>
          <w:i w:val="0"/>
          <w:iCs w:val="0"/>
          <w:color w:val="auto"/>
          <w:sz w:val="24"/>
          <w:szCs w:val="24"/>
        </w:rPr>
        <w:fldChar w:fldCharType="end"/>
      </w:r>
      <w:r w:rsidRPr="00EC6CCC">
        <w:rPr>
          <w:b/>
          <w:bCs/>
          <w:i w:val="0"/>
          <w:iCs w:val="0"/>
          <w:color w:val="auto"/>
          <w:sz w:val="24"/>
          <w:szCs w:val="24"/>
        </w:rPr>
        <w:t>.</w:t>
      </w:r>
      <w:r w:rsidRPr="00EC6CCC">
        <w:rPr>
          <w:i w:val="0"/>
          <w:iCs w:val="0"/>
          <w:color w:val="auto"/>
          <w:sz w:val="24"/>
          <w:szCs w:val="24"/>
        </w:rPr>
        <w:t xml:space="preserve"> Locations of Stations 1, 2, 3, and 4 (Rover), which serve as the primary continuous water quality monitoring stations in Lake Merritt. Water Board Stations A and B were monitored from June through October 2024.</w:t>
      </w:r>
    </w:p>
    <w:p w14:paraId="22691E6C" w14:textId="700DED15" w:rsidR="00EC6CCC" w:rsidRDefault="00EC6CCC" w:rsidP="00EC6CCC">
      <w:pPr>
        <w:pStyle w:val="Heading1"/>
        <w:numPr>
          <w:ilvl w:val="0"/>
          <w:numId w:val="2"/>
        </w:numPr>
      </w:pPr>
      <w:r>
        <w:t>Water Column Grab Samples</w:t>
      </w:r>
    </w:p>
    <w:p w14:paraId="4B8C9A34" w14:textId="3436F3EC" w:rsidR="00EC6CCC" w:rsidRDefault="00EC6CCC" w:rsidP="00EC6CCC">
      <w:r>
        <w:t>As noted in the previous section, we propose to deploy the SUNA sensor at Water Board Station A</w:t>
      </w:r>
      <w:r w:rsidR="00D92572">
        <w:t xml:space="preserve"> (depth: </w:t>
      </w:r>
      <w:r w:rsidR="007450DC">
        <w:t>~</w:t>
      </w:r>
      <w:r w:rsidR="00D92572">
        <w:t>8 feet)</w:t>
      </w:r>
      <w:r>
        <w:t>. To validate the continuous nitrate measurements from the SUNA sensor, we propose collecting monthly water column grab samples at Water Board Station A from June through October 2025. These samples will be submitted to BABCOCK Laboratories, Inc. for nitrate</w:t>
      </w:r>
      <w:r w:rsidR="00B85BD4">
        <w:t xml:space="preserve"> and total ammonia</w:t>
      </w:r>
      <w:r>
        <w:t xml:space="preserve"> analysis, providing a quality assurance check on the SUNA sensor data. In addition to the nitrate grab samples proposed for validating the SUNA sensor, additional nutrient grab sampling may be considered to support a more comprehensive assessment of nutrient dynamics in Lake Merritt.</w:t>
      </w:r>
    </w:p>
    <w:p w14:paraId="6C048A4A" w14:textId="53F0A796" w:rsidR="00EC6CCC" w:rsidRDefault="00EC6CCC" w:rsidP="00EC6CCC">
      <w:r>
        <w:t>From June through October 2024, nutrient grab samples were collected at eight locations shown in Figure 2. The samples were analyzed for: nitrate (</w:t>
      </w:r>
      <w:r w:rsidR="003F2C44" w:rsidRPr="003F2C44">
        <w:t>NO</w:t>
      </w:r>
      <w:r w:rsidR="003F2C44" w:rsidRPr="003F2C44">
        <w:rPr>
          <w:rFonts w:ascii="Cambria Math" w:hAnsi="Cambria Math" w:cs="Cambria Math"/>
        </w:rPr>
        <w:t>₃⁻</w:t>
      </w:r>
      <w:r>
        <w:t>) + nitrite (</w:t>
      </w:r>
      <w:r w:rsidR="00EA0A2F" w:rsidRPr="00EA0A2F">
        <w:t>NO</w:t>
      </w:r>
      <w:r w:rsidR="00EA0A2F" w:rsidRPr="00EA0A2F">
        <w:rPr>
          <w:rFonts w:ascii="Cambria Math" w:hAnsi="Cambria Math" w:cs="Cambria Math"/>
        </w:rPr>
        <w:t>₂⁻</w:t>
      </w:r>
      <w:r>
        <w:t>), total ammonia (</w:t>
      </w:r>
      <w:r w:rsidR="00B735FF" w:rsidRPr="00B735FF">
        <w:t>NH</w:t>
      </w:r>
      <w:r w:rsidR="00B735FF" w:rsidRPr="00B735FF">
        <w:rPr>
          <w:rFonts w:ascii="Cambria Math" w:hAnsi="Cambria Math" w:cs="Cambria Math"/>
        </w:rPr>
        <w:t>₃</w:t>
      </w:r>
      <w:r w:rsidR="00B735FF" w:rsidRPr="00B735FF">
        <w:t xml:space="preserve"> + NH</w:t>
      </w:r>
      <w:r w:rsidR="00B735FF" w:rsidRPr="00B735FF">
        <w:rPr>
          <w:rFonts w:ascii="Cambria Math" w:hAnsi="Cambria Math" w:cs="Cambria Math"/>
        </w:rPr>
        <w:t>₄⁺</w:t>
      </w:r>
      <w:r>
        <w:t>), total Kjeldahl nitrogen (TKN), orthophosphate (</w:t>
      </w:r>
      <w:r w:rsidR="004C6585" w:rsidRPr="004C6585">
        <w:t>PO</w:t>
      </w:r>
      <w:r w:rsidR="004C6585" w:rsidRPr="004C6585">
        <w:rPr>
          <w:rFonts w:ascii="Cambria Math" w:hAnsi="Cambria Math" w:cs="Cambria Math"/>
        </w:rPr>
        <w:t>₄</w:t>
      </w:r>
      <w:r w:rsidR="004C6585" w:rsidRPr="004C6585">
        <w:rPr>
          <w:rFonts w:cs="Arial"/>
        </w:rPr>
        <w:t>³</w:t>
      </w:r>
      <w:r w:rsidR="004C6585" w:rsidRPr="004C6585">
        <w:rPr>
          <w:rFonts w:ascii="Cambria Math" w:hAnsi="Cambria Math" w:cs="Cambria Math"/>
        </w:rPr>
        <w:t>⁻</w:t>
      </w:r>
      <w:r>
        <w:t xml:space="preserve">), and total phosphorus (TP). These analytes provide the basis for calculating total (dissolved) inorganic nitrogen (DIN), total organic nitrogen (TON), total nitrogen (TN), total organic phosphorus, and Redfield Ratios. </w:t>
      </w:r>
    </w:p>
    <w:p w14:paraId="053A2B14" w14:textId="66E75158" w:rsidR="00EC6CCC" w:rsidRDefault="00EC6CCC" w:rsidP="00EC6CCC">
      <w:r>
        <w:lastRenderedPageBreak/>
        <w:t>For 2025, routine collection of nutrient water column grab samples is not currently recommended</w:t>
      </w:r>
      <w:r w:rsidR="003A7B50">
        <w:t xml:space="preserve"> as the 2024 results showed little spatial variation within the lake and small changes over the season</w:t>
      </w:r>
      <w:r>
        <w:t xml:space="preserve">. However, we are requesting confirmation from the TAC </w:t>
      </w:r>
      <w:proofErr w:type="gramStart"/>
      <w:r>
        <w:t>if</w:t>
      </w:r>
      <w:proofErr w:type="gramEnd"/>
      <w:r>
        <w:t xml:space="preserve"> additional sampling should be conducted. Table 1 outlines a suite of potential water quality parameters that could be sampled. </w:t>
      </w:r>
    </w:p>
    <w:p w14:paraId="68683195" w14:textId="23934ADA" w:rsidR="00EC6CCC" w:rsidRDefault="00EC6CCC" w:rsidP="00EC6CCC">
      <w:r>
        <w:t xml:space="preserve">In addition, sediment nutrient sampling could be conducted, if recommended by the TAC, to improve understanding of nutrient cycling between the sediment and the water column. However, because Lake Merritt is nitrogen-limited, the Water Board did not recommend nutrient sampling, noting that lake management strategies like </w:t>
      </w:r>
      <w:proofErr w:type="spellStart"/>
      <w:r>
        <w:t>Phoslock</w:t>
      </w:r>
      <w:proofErr w:type="spellEnd"/>
      <w:r>
        <w:t xml:space="preserve"> (which targets phosphorus) would likely be ineffective in reducing algal blooms. We request TAC confirmation on whether sediment nutrient sampling is necessary for the 2025 monitoring plan.</w:t>
      </w:r>
    </w:p>
    <w:p w14:paraId="7CCA69E5" w14:textId="201C9D64" w:rsidR="00EC6CCC" w:rsidRPr="00917EF6" w:rsidRDefault="00917EF6" w:rsidP="00917EF6">
      <w:pPr>
        <w:pStyle w:val="Caption"/>
        <w:spacing w:after="0"/>
        <w:rPr>
          <w:i w:val="0"/>
          <w:iCs w:val="0"/>
          <w:color w:val="auto"/>
          <w:sz w:val="24"/>
          <w:szCs w:val="24"/>
        </w:rPr>
      </w:pPr>
      <w:r w:rsidRPr="00917EF6">
        <w:rPr>
          <w:b/>
          <w:bCs/>
          <w:i w:val="0"/>
          <w:iCs w:val="0"/>
          <w:color w:val="auto"/>
          <w:sz w:val="24"/>
          <w:szCs w:val="24"/>
        </w:rPr>
        <w:t xml:space="preserve">Table </w:t>
      </w:r>
      <w:r w:rsidRPr="00917EF6">
        <w:rPr>
          <w:b/>
          <w:bCs/>
          <w:i w:val="0"/>
          <w:iCs w:val="0"/>
          <w:color w:val="auto"/>
          <w:sz w:val="24"/>
          <w:szCs w:val="24"/>
        </w:rPr>
        <w:fldChar w:fldCharType="begin"/>
      </w:r>
      <w:r w:rsidRPr="00917EF6">
        <w:rPr>
          <w:b/>
          <w:bCs/>
          <w:i w:val="0"/>
          <w:iCs w:val="0"/>
          <w:color w:val="auto"/>
          <w:sz w:val="24"/>
          <w:szCs w:val="24"/>
        </w:rPr>
        <w:instrText xml:space="preserve"> SEQ Table \* ARABIC </w:instrText>
      </w:r>
      <w:r w:rsidRPr="00917EF6">
        <w:rPr>
          <w:b/>
          <w:bCs/>
          <w:i w:val="0"/>
          <w:iCs w:val="0"/>
          <w:color w:val="auto"/>
          <w:sz w:val="24"/>
          <w:szCs w:val="24"/>
        </w:rPr>
        <w:fldChar w:fldCharType="separate"/>
      </w:r>
      <w:r w:rsidRPr="00917EF6">
        <w:rPr>
          <w:b/>
          <w:bCs/>
          <w:i w:val="0"/>
          <w:iCs w:val="0"/>
          <w:noProof/>
          <w:color w:val="auto"/>
          <w:sz w:val="24"/>
          <w:szCs w:val="24"/>
        </w:rPr>
        <w:t>1</w:t>
      </w:r>
      <w:r w:rsidRPr="00917EF6">
        <w:rPr>
          <w:b/>
          <w:bCs/>
          <w:i w:val="0"/>
          <w:iCs w:val="0"/>
          <w:color w:val="auto"/>
          <w:sz w:val="24"/>
          <w:szCs w:val="24"/>
        </w:rPr>
        <w:fldChar w:fldCharType="end"/>
      </w:r>
      <w:r w:rsidRPr="00917EF6">
        <w:rPr>
          <w:b/>
          <w:bCs/>
          <w:i w:val="0"/>
          <w:iCs w:val="0"/>
          <w:color w:val="auto"/>
          <w:sz w:val="24"/>
          <w:szCs w:val="24"/>
        </w:rPr>
        <w:t>.</w:t>
      </w:r>
      <w:r w:rsidRPr="00917EF6">
        <w:rPr>
          <w:i w:val="0"/>
          <w:iCs w:val="0"/>
          <w:color w:val="auto"/>
          <w:sz w:val="24"/>
          <w:szCs w:val="24"/>
        </w:rPr>
        <w:t xml:space="preserve"> Potential water quality parameters for grab samples.</w:t>
      </w:r>
    </w:p>
    <w:tbl>
      <w:tblPr>
        <w:tblStyle w:val="TableGrid1"/>
        <w:tblW w:w="9625" w:type="dxa"/>
        <w:tblLook w:val="04A0" w:firstRow="1" w:lastRow="0" w:firstColumn="1" w:lastColumn="0" w:noHBand="0" w:noVBand="1"/>
      </w:tblPr>
      <w:tblGrid>
        <w:gridCol w:w="3145"/>
        <w:gridCol w:w="2070"/>
        <w:gridCol w:w="1327"/>
        <w:gridCol w:w="1463"/>
        <w:gridCol w:w="1620"/>
      </w:tblGrid>
      <w:tr w:rsidR="00917EF6" w:rsidRPr="00EC6CCC" w14:paraId="4E06E9EF" w14:textId="77777777" w:rsidTr="00917EF6">
        <w:trPr>
          <w:trHeight w:val="432"/>
        </w:trPr>
        <w:tc>
          <w:tcPr>
            <w:tcW w:w="3145" w:type="dxa"/>
            <w:shd w:val="clear" w:color="auto" w:fill="D9D9D9"/>
            <w:vAlign w:val="center"/>
          </w:tcPr>
          <w:p w14:paraId="208C0F0D" w14:textId="77777777" w:rsidR="00EC6CCC" w:rsidRPr="00EC6CCC" w:rsidRDefault="00EC6CCC" w:rsidP="00EC6CCC">
            <w:pPr>
              <w:spacing w:before="0" w:after="0"/>
              <w:jc w:val="center"/>
              <w:rPr>
                <w:rFonts w:eastAsia="Aptos" w:cs="Arial"/>
                <w:b/>
                <w:bCs/>
              </w:rPr>
            </w:pPr>
            <w:r w:rsidRPr="00EC6CCC">
              <w:rPr>
                <w:rFonts w:eastAsia="Aptos" w:cs="Arial"/>
                <w:b/>
                <w:bCs/>
              </w:rPr>
              <w:t>Analyte</w:t>
            </w:r>
          </w:p>
        </w:tc>
        <w:tc>
          <w:tcPr>
            <w:tcW w:w="2070" w:type="dxa"/>
            <w:shd w:val="clear" w:color="auto" w:fill="D9D9D9"/>
            <w:vAlign w:val="center"/>
          </w:tcPr>
          <w:p w14:paraId="382A372C" w14:textId="77777777" w:rsidR="00EC6CCC" w:rsidRPr="00EC6CCC" w:rsidRDefault="00EC6CCC" w:rsidP="00EC6CCC">
            <w:pPr>
              <w:spacing w:before="0" w:after="0"/>
              <w:jc w:val="center"/>
              <w:rPr>
                <w:rFonts w:eastAsia="Aptos" w:cs="Arial"/>
                <w:b/>
                <w:bCs/>
              </w:rPr>
            </w:pPr>
            <w:r w:rsidRPr="00EC6CCC">
              <w:rPr>
                <w:rFonts w:eastAsia="Aptos" w:cs="Arial"/>
                <w:b/>
                <w:bCs/>
              </w:rPr>
              <w:t>Preservative</w:t>
            </w:r>
          </w:p>
        </w:tc>
        <w:tc>
          <w:tcPr>
            <w:tcW w:w="1327" w:type="dxa"/>
            <w:shd w:val="clear" w:color="auto" w:fill="D9D9D9"/>
            <w:vAlign w:val="center"/>
          </w:tcPr>
          <w:p w14:paraId="46935778" w14:textId="77777777" w:rsidR="00EC6CCC" w:rsidRPr="00EC6CCC" w:rsidRDefault="00EC6CCC" w:rsidP="00EC6CCC">
            <w:pPr>
              <w:spacing w:before="0" w:after="0"/>
              <w:jc w:val="center"/>
              <w:rPr>
                <w:rFonts w:eastAsia="Aptos" w:cs="Arial"/>
                <w:b/>
                <w:bCs/>
              </w:rPr>
            </w:pPr>
            <w:r w:rsidRPr="00EC6CCC">
              <w:rPr>
                <w:rFonts w:eastAsia="Aptos" w:cs="Arial"/>
                <w:b/>
                <w:bCs/>
              </w:rPr>
              <w:t>Holding Time</w:t>
            </w:r>
          </w:p>
        </w:tc>
        <w:tc>
          <w:tcPr>
            <w:tcW w:w="1463" w:type="dxa"/>
            <w:shd w:val="clear" w:color="auto" w:fill="D9D9D9"/>
            <w:vAlign w:val="center"/>
          </w:tcPr>
          <w:p w14:paraId="1D8F712F" w14:textId="77777777" w:rsidR="00EC6CCC" w:rsidRPr="00EC6CCC" w:rsidRDefault="00EC6CCC" w:rsidP="00EC6CCC">
            <w:pPr>
              <w:spacing w:before="0" w:after="0"/>
              <w:jc w:val="center"/>
              <w:rPr>
                <w:rFonts w:eastAsia="Aptos" w:cs="Arial"/>
                <w:b/>
                <w:bCs/>
              </w:rPr>
            </w:pPr>
            <w:r w:rsidRPr="00EC6CCC">
              <w:rPr>
                <w:rFonts w:eastAsia="Aptos" w:cs="Arial"/>
                <w:b/>
                <w:bCs/>
              </w:rPr>
              <w:t>RL</w:t>
            </w:r>
          </w:p>
        </w:tc>
        <w:tc>
          <w:tcPr>
            <w:tcW w:w="1620" w:type="dxa"/>
            <w:shd w:val="clear" w:color="auto" w:fill="D9D9D9"/>
            <w:vAlign w:val="center"/>
          </w:tcPr>
          <w:p w14:paraId="22F5E2B4" w14:textId="77777777" w:rsidR="00EC6CCC" w:rsidRPr="00EC6CCC" w:rsidRDefault="00EC6CCC" w:rsidP="00EC6CCC">
            <w:pPr>
              <w:spacing w:before="0" w:after="0"/>
              <w:jc w:val="center"/>
              <w:rPr>
                <w:rFonts w:eastAsia="Aptos" w:cs="Arial"/>
                <w:b/>
                <w:bCs/>
              </w:rPr>
            </w:pPr>
            <w:r w:rsidRPr="00EC6CCC">
              <w:rPr>
                <w:rFonts w:eastAsia="Aptos" w:cs="Arial"/>
                <w:b/>
                <w:bCs/>
              </w:rPr>
              <w:t>MDL</w:t>
            </w:r>
          </w:p>
        </w:tc>
      </w:tr>
      <w:tr w:rsidR="00EC6CCC" w:rsidRPr="00EC6CCC" w14:paraId="0AA27ACE" w14:textId="77777777" w:rsidTr="00917EF6">
        <w:trPr>
          <w:trHeight w:val="432"/>
        </w:trPr>
        <w:tc>
          <w:tcPr>
            <w:tcW w:w="3145" w:type="dxa"/>
          </w:tcPr>
          <w:p w14:paraId="7A4947CB" w14:textId="77777777" w:rsidR="00EC6CCC" w:rsidRPr="00EC6CCC" w:rsidRDefault="00EC6CCC" w:rsidP="00EC6CCC">
            <w:pPr>
              <w:spacing w:before="0" w:after="0"/>
              <w:rPr>
                <w:rFonts w:eastAsia="Aptos" w:cs="Arial"/>
              </w:rPr>
            </w:pPr>
            <w:r w:rsidRPr="00EC6CCC">
              <w:rPr>
                <w:rFonts w:eastAsia="Aptos" w:cs="Arial"/>
              </w:rPr>
              <w:t>Total Ammonia</w:t>
            </w:r>
          </w:p>
        </w:tc>
        <w:tc>
          <w:tcPr>
            <w:tcW w:w="2070" w:type="dxa"/>
            <w:vAlign w:val="center"/>
          </w:tcPr>
          <w:p w14:paraId="68542C02" w14:textId="77777777" w:rsidR="00EC6CCC" w:rsidRPr="00EC6CCC" w:rsidRDefault="00EC6CCC" w:rsidP="00EC6CCC">
            <w:pPr>
              <w:spacing w:before="0" w:after="0"/>
              <w:rPr>
                <w:rFonts w:eastAsia="Aptos" w:cs="Arial"/>
              </w:rPr>
            </w:pPr>
            <w:r w:rsidRPr="00EC6CCC">
              <w:rPr>
                <w:rFonts w:eastAsia="Aptos" w:cs="Arial"/>
              </w:rPr>
              <w:t>H</w:t>
            </w:r>
            <w:r w:rsidRPr="00EC6CCC">
              <w:rPr>
                <w:rFonts w:eastAsia="Aptos" w:cs="Arial"/>
                <w:vertAlign w:val="subscript"/>
              </w:rPr>
              <w:t>2</w:t>
            </w:r>
            <w:r w:rsidRPr="00EC6CCC">
              <w:rPr>
                <w:rFonts w:eastAsia="Aptos" w:cs="Arial"/>
              </w:rPr>
              <w:t>SO</w:t>
            </w:r>
            <w:r w:rsidRPr="00EC6CCC">
              <w:rPr>
                <w:rFonts w:eastAsia="Aptos" w:cs="Arial"/>
                <w:vertAlign w:val="superscript"/>
              </w:rPr>
              <w:t>4</w:t>
            </w:r>
          </w:p>
        </w:tc>
        <w:tc>
          <w:tcPr>
            <w:tcW w:w="1327" w:type="dxa"/>
          </w:tcPr>
          <w:p w14:paraId="00292CE9" w14:textId="77777777" w:rsidR="00EC6CCC" w:rsidRPr="00EC6CCC" w:rsidRDefault="00EC6CCC" w:rsidP="00EC6CCC">
            <w:pPr>
              <w:spacing w:before="0" w:after="0"/>
              <w:rPr>
                <w:rFonts w:eastAsia="Aptos" w:cs="Arial"/>
              </w:rPr>
            </w:pPr>
            <w:r w:rsidRPr="00EC6CCC">
              <w:rPr>
                <w:rFonts w:eastAsia="Aptos" w:cs="Arial"/>
              </w:rPr>
              <w:t>28 days</w:t>
            </w:r>
          </w:p>
        </w:tc>
        <w:tc>
          <w:tcPr>
            <w:tcW w:w="1463" w:type="dxa"/>
          </w:tcPr>
          <w:p w14:paraId="46AC9480" w14:textId="77777777" w:rsidR="00EC6CCC" w:rsidRPr="00EC6CCC" w:rsidRDefault="00EC6CCC" w:rsidP="00EC6CCC">
            <w:pPr>
              <w:spacing w:before="0" w:after="0"/>
              <w:rPr>
                <w:rFonts w:eastAsia="Aptos" w:cs="Arial"/>
              </w:rPr>
            </w:pPr>
            <w:r w:rsidRPr="00EC6CCC">
              <w:rPr>
                <w:rFonts w:eastAsia="Aptos" w:cs="Arial"/>
              </w:rPr>
              <w:t>0.01 mg/L</w:t>
            </w:r>
          </w:p>
        </w:tc>
        <w:tc>
          <w:tcPr>
            <w:tcW w:w="1620" w:type="dxa"/>
          </w:tcPr>
          <w:p w14:paraId="65C9D2A2" w14:textId="77777777" w:rsidR="00EC6CCC" w:rsidRPr="00EC6CCC" w:rsidRDefault="00EC6CCC" w:rsidP="00EC6CCC">
            <w:pPr>
              <w:spacing w:before="0" w:after="0"/>
              <w:rPr>
                <w:rFonts w:eastAsia="Aptos" w:cs="Arial"/>
              </w:rPr>
            </w:pPr>
            <w:r w:rsidRPr="00EC6CCC">
              <w:rPr>
                <w:rFonts w:eastAsia="Aptos" w:cs="Arial"/>
              </w:rPr>
              <w:t>0.0049 mg/L</w:t>
            </w:r>
          </w:p>
        </w:tc>
      </w:tr>
      <w:tr w:rsidR="00EC6CCC" w:rsidRPr="00EC6CCC" w14:paraId="04C7648F" w14:textId="77777777" w:rsidTr="00917EF6">
        <w:trPr>
          <w:trHeight w:val="432"/>
        </w:trPr>
        <w:tc>
          <w:tcPr>
            <w:tcW w:w="3145" w:type="dxa"/>
          </w:tcPr>
          <w:p w14:paraId="164DDE2C" w14:textId="77777777" w:rsidR="00EC6CCC" w:rsidRPr="00EC6CCC" w:rsidRDefault="00EC6CCC" w:rsidP="00EC6CCC">
            <w:pPr>
              <w:spacing w:before="0" w:after="0"/>
              <w:rPr>
                <w:rFonts w:eastAsia="Aptos" w:cs="Arial"/>
              </w:rPr>
            </w:pPr>
            <w:r w:rsidRPr="00EC6CCC">
              <w:rPr>
                <w:rFonts w:eastAsia="Aptos" w:cs="Arial"/>
              </w:rPr>
              <w:t>Total Kjeldahl Nitrogen</w:t>
            </w:r>
          </w:p>
        </w:tc>
        <w:tc>
          <w:tcPr>
            <w:tcW w:w="2070" w:type="dxa"/>
          </w:tcPr>
          <w:p w14:paraId="4450ED57" w14:textId="77777777" w:rsidR="00EC6CCC" w:rsidRPr="00EC6CCC" w:rsidRDefault="00EC6CCC" w:rsidP="00EC6CCC">
            <w:pPr>
              <w:spacing w:before="0" w:after="0"/>
              <w:rPr>
                <w:rFonts w:eastAsia="Aptos" w:cs="Arial"/>
              </w:rPr>
            </w:pPr>
            <w:r w:rsidRPr="00EC6CCC">
              <w:rPr>
                <w:rFonts w:eastAsia="Aptos" w:cs="Arial"/>
              </w:rPr>
              <w:t>H</w:t>
            </w:r>
            <w:r w:rsidRPr="00EC6CCC">
              <w:rPr>
                <w:rFonts w:eastAsia="Aptos" w:cs="Arial"/>
                <w:vertAlign w:val="subscript"/>
              </w:rPr>
              <w:t>2</w:t>
            </w:r>
            <w:r w:rsidRPr="00EC6CCC">
              <w:rPr>
                <w:rFonts w:eastAsia="Aptos" w:cs="Arial"/>
              </w:rPr>
              <w:t>SO</w:t>
            </w:r>
            <w:r w:rsidRPr="00EC6CCC">
              <w:rPr>
                <w:rFonts w:eastAsia="Aptos" w:cs="Arial"/>
                <w:vertAlign w:val="superscript"/>
              </w:rPr>
              <w:t>4</w:t>
            </w:r>
          </w:p>
        </w:tc>
        <w:tc>
          <w:tcPr>
            <w:tcW w:w="1327" w:type="dxa"/>
          </w:tcPr>
          <w:p w14:paraId="6FADF4A6" w14:textId="77777777" w:rsidR="00EC6CCC" w:rsidRPr="00EC6CCC" w:rsidRDefault="00EC6CCC" w:rsidP="00EC6CCC">
            <w:pPr>
              <w:spacing w:before="0" w:after="0"/>
              <w:rPr>
                <w:rFonts w:eastAsia="Aptos" w:cs="Arial"/>
              </w:rPr>
            </w:pPr>
            <w:r w:rsidRPr="00EC6CCC">
              <w:rPr>
                <w:rFonts w:eastAsia="Aptos" w:cs="Arial"/>
              </w:rPr>
              <w:t>28 days</w:t>
            </w:r>
          </w:p>
        </w:tc>
        <w:tc>
          <w:tcPr>
            <w:tcW w:w="1463" w:type="dxa"/>
          </w:tcPr>
          <w:p w14:paraId="7F8F8088" w14:textId="77777777" w:rsidR="00EC6CCC" w:rsidRPr="00EC6CCC" w:rsidRDefault="00EC6CCC" w:rsidP="00EC6CCC">
            <w:pPr>
              <w:spacing w:before="0" w:after="0"/>
              <w:rPr>
                <w:rFonts w:eastAsia="Aptos" w:cs="Arial"/>
              </w:rPr>
            </w:pPr>
            <w:r w:rsidRPr="00EC6CCC">
              <w:rPr>
                <w:rFonts w:eastAsia="Aptos" w:cs="Arial"/>
              </w:rPr>
              <w:t>0.1 mg/L</w:t>
            </w:r>
          </w:p>
        </w:tc>
        <w:tc>
          <w:tcPr>
            <w:tcW w:w="1620" w:type="dxa"/>
          </w:tcPr>
          <w:p w14:paraId="3F42E7E7" w14:textId="77777777" w:rsidR="00EC6CCC" w:rsidRPr="00EC6CCC" w:rsidRDefault="00EC6CCC" w:rsidP="00EC6CCC">
            <w:pPr>
              <w:spacing w:before="0" w:after="0"/>
              <w:rPr>
                <w:rFonts w:eastAsia="Aptos" w:cs="Arial"/>
              </w:rPr>
            </w:pPr>
            <w:r w:rsidRPr="00EC6CCC">
              <w:rPr>
                <w:rFonts w:eastAsia="Aptos" w:cs="Arial"/>
              </w:rPr>
              <w:t>0.093 mg/L</w:t>
            </w:r>
          </w:p>
        </w:tc>
      </w:tr>
      <w:tr w:rsidR="00EC6CCC" w:rsidRPr="00EC6CCC" w14:paraId="1791AF7D" w14:textId="77777777" w:rsidTr="00917EF6">
        <w:trPr>
          <w:trHeight w:val="432"/>
        </w:trPr>
        <w:tc>
          <w:tcPr>
            <w:tcW w:w="3145" w:type="dxa"/>
          </w:tcPr>
          <w:p w14:paraId="70697B0B" w14:textId="77777777" w:rsidR="00EC6CCC" w:rsidRPr="00EC6CCC" w:rsidRDefault="00EC6CCC" w:rsidP="00EC6CCC">
            <w:pPr>
              <w:spacing w:before="0" w:after="0"/>
              <w:rPr>
                <w:rFonts w:eastAsia="Aptos" w:cs="Arial"/>
              </w:rPr>
            </w:pPr>
            <w:r w:rsidRPr="00EC6CCC">
              <w:rPr>
                <w:rFonts w:eastAsia="Aptos" w:cs="Arial"/>
              </w:rPr>
              <w:t>Total Phosphorus</w:t>
            </w:r>
          </w:p>
        </w:tc>
        <w:tc>
          <w:tcPr>
            <w:tcW w:w="2070" w:type="dxa"/>
          </w:tcPr>
          <w:p w14:paraId="19A23E93" w14:textId="77777777" w:rsidR="00EC6CCC" w:rsidRPr="00EC6CCC" w:rsidRDefault="00EC6CCC" w:rsidP="00EC6CCC">
            <w:pPr>
              <w:spacing w:before="0" w:after="0"/>
              <w:rPr>
                <w:rFonts w:eastAsia="Aptos" w:cs="Arial"/>
              </w:rPr>
            </w:pPr>
            <w:r w:rsidRPr="00EC6CCC">
              <w:rPr>
                <w:rFonts w:eastAsia="Aptos" w:cs="Arial"/>
              </w:rPr>
              <w:t>H</w:t>
            </w:r>
            <w:r w:rsidRPr="00EC6CCC">
              <w:rPr>
                <w:rFonts w:eastAsia="Aptos" w:cs="Arial"/>
                <w:vertAlign w:val="subscript"/>
              </w:rPr>
              <w:t>2</w:t>
            </w:r>
            <w:r w:rsidRPr="00EC6CCC">
              <w:rPr>
                <w:rFonts w:eastAsia="Aptos" w:cs="Arial"/>
              </w:rPr>
              <w:t>SO</w:t>
            </w:r>
            <w:r w:rsidRPr="00EC6CCC">
              <w:rPr>
                <w:rFonts w:eastAsia="Aptos" w:cs="Arial"/>
                <w:vertAlign w:val="superscript"/>
              </w:rPr>
              <w:t>4</w:t>
            </w:r>
          </w:p>
        </w:tc>
        <w:tc>
          <w:tcPr>
            <w:tcW w:w="1327" w:type="dxa"/>
          </w:tcPr>
          <w:p w14:paraId="00473E56" w14:textId="77777777" w:rsidR="00EC6CCC" w:rsidRPr="00EC6CCC" w:rsidRDefault="00EC6CCC" w:rsidP="00EC6CCC">
            <w:pPr>
              <w:spacing w:before="0" w:after="0"/>
              <w:rPr>
                <w:rFonts w:eastAsia="Aptos" w:cs="Arial"/>
              </w:rPr>
            </w:pPr>
            <w:r w:rsidRPr="00EC6CCC">
              <w:rPr>
                <w:rFonts w:eastAsia="Aptos" w:cs="Arial"/>
              </w:rPr>
              <w:t>28 days</w:t>
            </w:r>
          </w:p>
        </w:tc>
        <w:tc>
          <w:tcPr>
            <w:tcW w:w="1463" w:type="dxa"/>
          </w:tcPr>
          <w:p w14:paraId="482F0DCF" w14:textId="77777777" w:rsidR="00EC6CCC" w:rsidRPr="00EC6CCC" w:rsidRDefault="00EC6CCC" w:rsidP="00EC6CCC">
            <w:pPr>
              <w:spacing w:before="0" w:after="0"/>
              <w:rPr>
                <w:rFonts w:eastAsia="Aptos" w:cs="Arial"/>
              </w:rPr>
            </w:pPr>
            <w:r w:rsidRPr="00EC6CCC">
              <w:rPr>
                <w:rFonts w:eastAsia="Aptos" w:cs="Arial"/>
              </w:rPr>
              <w:t xml:space="preserve">0.01 mg/L </w:t>
            </w:r>
          </w:p>
        </w:tc>
        <w:tc>
          <w:tcPr>
            <w:tcW w:w="1620" w:type="dxa"/>
          </w:tcPr>
          <w:p w14:paraId="50318A41" w14:textId="77777777" w:rsidR="00EC6CCC" w:rsidRPr="00EC6CCC" w:rsidRDefault="00EC6CCC" w:rsidP="00EC6CCC">
            <w:pPr>
              <w:spacing w:before="0" w:after="0"/>
              <w:rPr>
                <w:rFonts w:eastAsia="Aptos" w:cs="Arial"/>
              </w:rPr>
            </w:pPr>
            <w:r w:rsidRPr="00EC6CCC">
              <w:rPr>
                <w:rFonts w:eastAsia="Aptos" w:cs="Arial"/>
              </w:rPr>
              <w:t>0.01 mg/L</w:t>
            </w:r>
          </w:p>
        </w:tc>
      </w:tr>
      <w:tr w:rsidR="00EC6CCC" w:rsidRPr="00EC6CCC" w14:paraId="37389008" w14:textId="77777777" w:rsidTr="00917EF6">
        <w:trPr>
          <w:trHeight w:val="432"/>
        </w:trPr>
        <w:tc>
          <w:tcPr>
            <w:tcW w:w="3145" w:type="dxa"/>
          </w:tcPr>
          <w:p w14:paraId="4B061A03" w14:textId="77777777" w:rsidR="00EC6CCC" w:rsidRPr="00EC6CCC" w:rsidRDefault="00EC6CCC" w:rsidP="00EC6CCC">
            <w:pPr>
              <w:spacing w:before="0" w:after="0"/>
              <w:rPr>
                <w:rFonts w:eastAsia="Aptos" w:cs="Arial"/>
              </w:rPr>
            </w:pPr>
            <w:r w:rsidRPr="00EC6CCC">
              <w:rPr>
                <w:rFonts w:eastAsia="Aptos" w:cs="Arial"/>
              </w:rPr>
              <w:t>Low Level Nitrate + Nitrite</w:t>
            </w:r>
          </w:p>
        </w:tc>
        <w:tc>
          <w:tcPr>
            <w:tcW w:w="2070" w:type="dxa"/>
          </w:tcPr>
          <w:p w14:paraId="4420C97E" w14:textId="77777777" w:rsidR="00EC6CCC" w:rsidRPr="00EC6CCC" w:rsidRDefault="00EC6CCC" w:rsidP="00EC6CCC">
            <w:pPr>
              <w:spacing w:before="0" w:after="0"/>
              <w:rPr>
                <w:rFonts w:eastAsia="Aptos" w:cs="Arial"/>
              </w:rPr>
            </w:pPr>
            <w:r w:rsidRPr="00EC6CCC">
              <w:rPr>
                <w:rFonts w:eastAsia="Aptos" w:cs="Arial"/>
              </w:rPr>
              <w:t>H</w:t>
            </w:r>
            <w:r w:rsidRPr="00EC6CCC">
              <w:rPr>
                <w:rFonts w:eastAsia="Aptos" w:cs="Arial"/>
                <w:vertAlign w:val="subscript"/>
              </w:rPr>
              <w:t>2</w:t>
            </w:r>
            <w:r w:rsidRPr="00EC6CCC">
              <w:rPr>
                <w:rFonts w:eastAsia="Aptos" w:cs="Arial"/>
              </w:rPr>
              <w:t>SO</w:t>
            </w:r>
            <w:r w:rsidRPr="00EC6CCC">
              <w:rPr>
                <w:rFonts w:eastAsia="Aptos" w:cs="Arial"/>
                <w:vertAlign w:val="superscript"/>
              </w:rPr>
              <w:t>4</w:t>
            </w:r>
          </w:p>
        </w:tc>
        <w:tc>
          <w:tcPr>
            <w:tcW w:w="1327" w:type="dxa"/>
          </w:tcPr>
          <w:p w14:paraId="38DECFE6" w14:textId="77777777" w:rsidR="00EC6CCC" w:rsidRPr="00EC6CCC" w:rsidRDefault="00EC6CCC" w:rsidP="00EC6CCC">
            <w:pPr>
              <w:spacing w:before="0" w:after="0"/>
              <w:rPr>
                <w:rFonts w:eastAsia="Aptos" w:cs="Arial"/>
              </w:rPr>
            </w:pPr>
            <w:r w:rsidRPr="00EC6CCC">
              <w:rPr>
                <w:rFonts w:eastAsia="Aptos" w:cs="Arial"/>
              </w:rPr>
              <w:t>28 days</w:t>
            </w:r>
          </w:p>
        </w:tc>
        <w:tc>
          <w:tcPr>
            <w:tcW w:w="1463" w:type="dxa"/>
          </w:tcPr>
          <w:p w14:paraId="56DA7E53" w14:textId="77777777" w:rsidR="00EC6CCC" w:rsidRPr="00EC6CCC" w:rsidRDefault="00EC6CCC" w:rsidP="00EC6CCC">
            <w:pPr>
              <w:spacing w:before="0" w:after="0"/>
              <w:rPr>
                <w:rFonts w:eastAsia="Aptos" w:cs="Arial"/>
              </w:rPr>
            </w:pPr>
            <w:r w:rsidRPr="00EC6CCC">
              <w:rPr>
                <w:rFonts w:eastAsia="Aptos" w:cs="Arial"/>
              </w:rPr>
              <w:t>0.01 mg/L</w:t>
            </w:r>
          </w:p>
        </w:tc>
        <w:tc>
          <w:tcPr>
            <w:tcW w:w="1620" w:type="dxa"/>
          </w:tcPr>
          <w:p w14:paraId="172D12D7" w14:textId="77777777" w:rsidR="00EC6CCC" w:rsidRPr="00EC6CCC" w:rsidRDefault="00EC6CCC" w:rsidP="00EC6CCC">
            <w:pPr>
              <w:spacing w:before="0" w:after="0"/>
              <w:rPr>
                <w:rFonts w:eastAsia="Aptos" w:cs="Arial"/>
              </w:rPr>
            </w:pPr>
            <w:r w:rsidRPr="00EC6CCC">
              <w:rPr>
                <w:rFonts w:eastAsia="Aptos" w:cs="Arial"/>
              </w:rPr>
              <w:t>0.0038 mg/L</w:t>
            </w:r>
          </w:p>
        </w:tc>
      </w:tr>
      <w:tr w:rsidR="00EC6CCC" w:rsidRPr="00EC6CCC" w14:paraId="79E58A51" w14:textId="77777777" w:rsidTr="00917EF6">
        <w:trPr>
          <w:trHeight w:val="432"/>
        </w:trPr>
        <w:tc>
          <w:tcPr>
            <w:tcW w:w="3145" w:type="dxa"/>
          </w:tcPr>
          <w:p w14:paraId="0FFA5927" w14:textId="77777777" w:rsidR="00EC6CCC" w:rsidRPr="00EC6CCC" w:rsidRDefault="00EC6CCC" w:rsidP="00EC6CCC">
            <w:pPr>
              <w:spacing w:before="0" w:after="0"/>
              <w:rPr>
                <w:rFonts w:eastAsia="Aptos" w:cs="Arial"/>
              </w:rPr>
            </w:pPr>
            <w:r w:rsidRPr="00EC6CCC">
              <w:rPr>
                <w:rFonts w:eastAsia="Aptos" w:cs="Arial"/>
              </w:rPr>
              <w:t>Orthophosphate</w:t>
            </w:r>
          </w:p>
        </w:tc>
        <w:tc>
          <w:tcPr>
            <w:tcW w:w="2070" w:type="dxa"/>
          </w:tcPr>
          <w:p w14:paraId="123AE345" w14:textId="77777777" w:rsidR="00EC6CCC" w:rsidRPr="00EC6CCC" w:rsidRDefault="00EC6CCC" w:rsidP="00EC6CCC">
            <w:pPr>
              <w:spacing w:before="0" w:after="0"/>
              <w:rPr>
                <w:rFonts w:eastAsia="Aptos" w:cs="Arial"/>
              </w:rPr>
            </w:pPr>
            <w:r w:rsidRPr="00EC6CCC">
              <w:rPr>
                <w:rFonts w:eastAsia="Aptos" w:cs="Arial"/>
              </w:rPr>
              <w:t xml:space="preserve">None </w:t>
            </w:r>
          </w:p>
        </w:tc>
        <w:tc>
          <w:tcPr>
            <w:tcW w:w="1327" w:type="dxa"/>
          </w:tcPr>
          <w:p w14:paraId="782D8715" w14:textId="77777777" w:rsidR="00EC6CCC" w:rsidRPr="00EC6CCC" w:rsidRDefault="00EC6CCC" w:rsidP="00EC6CCC">
            <w:pPr>
              <w:spacing w:before="0" w:after="0"/>
              <w:rPr>
                <w:rFonts w:eastAsia="Aptos" w:cs="Arial"/>
              </w:rPr>
            </w:pPr>
            <w:r w:rsidRPr="00EC6CCC">
              <w:rPr>
                <w:rFonts w:eastAsia="Aptos" w:cs="Arial"/>
              </w:rPr>
              <w:t>48 hours</w:t>
            </w:r>
          </w:p>
        </w:tc>
        <w:tc>
          <w:tcPr>
            <w:tcW w:w="1463" w:type="dxa"/>
          </w:tcPr>
          <w:p w14:paraId="05A4399A" w14:textId="77777777" w:rsidR="00EC6CCC" w:rsidRPr="00EC6CCC" w:rsidRDefault="00EC6CCC" w:rsidP="00EC6CCC">
            <w:pPr>
              <w:spacing w:before="0" w:after="0"/>
              <w:rPr>
                <w:rFonts w:eastAsia="Aptos" w:cs="Arial"/>
              </w:rPr>
            </w:pPr>
            <w:r w:rsidRPr="00EC6CCC">
              <w:rPr>
                <w:rFonts w:eastAsia="Aptos" w:cs="Arial"/>
              </w:rPr>
              <w:t>0.05 mg/L</w:t>
            </w:r>
          </w:p>
        </w:tc>
        <w:tc>
          <w:tcPr>
            <w:tcW w:w="1620" w:type="dxa"/>
          </w:tcPr>
          <w:p w14:paraId="08427DEC" w14:textId="77777777" w:rsidR="00EC6CCC" w:rsidRPr="00EC6CCC" w:rsidRDefault="00EC6CCC" w:rsidP="00EC6CCC">
            <w:pPr>
              <w:spacing w:before="0" w:after="0"/>
              <w:rPr>
                <w:rFonts w:eastAsia="Aptos" w:cs="Arial"/>
              </w:rPr>
            </w:pPr>
            <w:r w:rsidRPr="00EC6CCC">
              <w:rPr>
                <w:rFonts w:eastAsia="Aptos" w:cs="Arial"/>
              </w:rPr>
              <w:t>0.016 mg/L</w:t>
            </w:r>
          </w:p>
        </w:tc>
      </w:tr>
      <w:tr w:rsidR="00EC6CCC" w:rsidRPr="00EC6CCC" w14:paraId="74F0604C" w14:textId="77777777" w:rsidTr="00917EF6">
        <w:trPr>
          <w:trHeight w:val="432"/>
        </w:trPr>
        <w:tc>
          <w:tcPr>
            <w:tcW w:w="3145" w:type="dxa"/>
          </w:tcPr>
          <w:p w14:paraId="75F83F7B" w14:textId="77777777" w:rsidR="00EC6CCC" w:rsidRPr="00EC6CCC" w:rsidRDefault="00EC6CCC" w:rsidP="00EC6CCC">
            <w:pPr>
              <w:spacing w:before="0" w:after="0"/>
              <w:rPr>
                <w:rFonts w:eastAsia="Aptos" w:cs="Arial"/>
              </w:rPr>
            </w:pPr>
            <w:r w:rsidRPr="00EC6CCC">
              <w:rPr>
                <w:rFonts w:eastAsia="Aptos" w:cs="Arial"/>
              </w:rPr>
              <w:t>Biochemical Oxygen Demand</w:t>
            </w:r>
          </w:p>
        </w:tc>
        <w:tc>
          <w:tcPr>
            <w:tcW w:w="2070" w:type="dxa"/>
          </w:tcPr>
          <w:p w14:paraId="4FA84DD7" w14:textId="77777777" w:rsidR="00EC6CCC" w:rsidRPr="00EC6CCC" w:rsidRDefault="00EC6CCC" w:rsidP="00EC6CCC">
            <w:pPr>
              <w:spacing w:before="0" w:after="0"/>
              <w:rPr>
                <w:rFonts w:eastAsia="Aptos" w:cs="Arial"/>
              </w:rPr>
            </w:pPr>
            <w:r w:rsidRPr="00EC6CCC">
              <w:rPr>
                <w:rFonts w:eastAsia="Aptos" w:cs="Arial"/>
              </w:rPr>
              <w:t>None</w:t>
            </w:r>
          </w:p>
        </w:tc>
        <w:tc>
          <w:tcPr>
            <w:tcW w:w="1327" w:type="dxa"/>
          </w:tcPr>
          <w:p w14:paraId="06BF0A33" w14:textId="77777777" w:rsidR="00EC6CCC" w:rsidRPr="00EC6CCC" w:rsidRDefault="00EC6CCC" w:rsidP="00EC6CCC">
            <w:pPr>
              <w:spacing w:before="0" w:after="0"/>
              <w:rPr>
                <w:rFonts w:eastAsia="Aptos" w:cs="Arial"/>
              </w:rPr>
            </w:pPr>
            <w:r w:rsidRPr="00EC6CCC">
              <w:rPr>
                <w:rFonts w:eastAsia="Aptos" w:cs="Arial"/>
              </w:rPr>
              <w:t>48 hours</w:t>
            </w:r>
          </w:p>
        </w:tc>
        <w:tc>
          <w:tcPr>
            <w:tcW w:w="1463" w:type="dxa"/>
          </w:tcPr>
          <w:p w14:paraId="69F6F8E0" w14:textId="77777777" w:rsidR="00EC6CCC" w:rsidRPr="00EC6CCC" w:rsidRDefault="00EC6CCC" w:rsidP="00EC6CCC">
            <w:pPr>
              <w:spacing w:before="0" w:after="0"/>
              <w:rPr>
                <w:rFonts w:eastAsia="Aptos" w:cs="Arial"/>
              </w:rPr>
            </w:pPr>
            <w:r w:rsidRPr="00EC6CCC">
              <w:rPr>
                <w:rFonts w:eastAsia="Aptos" w:cs="Arial"/>
              </w:rPr>
              <w:t>1.0 mg/L</w:t>
            </w:r>
          </w:p>
        </w:tc>
        <w:tc>
          <w:tcPr>
            <w:tcW w:w="1620" w:type="dxa"/>
          </w:tcPr>
          <w:p w14:paraId="42B6ABFA" w14:textId="77777777" w:rsidR="00EC6CCC" w:rsidRPr="00EC6CCC" w:rsidRDefault="00EC6CCC" w:rsidP="00EC6CCC">
            <w:pPr>
              <w:spacing w:before="0" w:after="0"/>
              <w:rPr>
                <w:rFonts w:eastAsia="Aptos" w:cs="Arial"/>
              </w:rPr>
            </w:pPr>
            <w:r w:rsidRPr="00EC6CCC">
              <w:rPr>
                <w:rFonts w:eastAsia="Aptos" w:cs="Arial"/>
              </w:rPr>
              <w:t>1.0 mg/L</w:t>
            </w:r>
          </w:p>
        </w:tc>
      </w:tr>
      <w:tr w:rsidR="00EC6CCC" w:rsidRPr="00EC6CCC" w14:paraId="17D73775" w14:textId="77777777" w:rsidTr="00917EF6">
        <w:trPr>
          <w:trHeight w:val="432"/>
        </w:trPr>
        <w:tc>
          <w:tcPr>
            <w:tcW w:w="3145" w:type="dxa"/>
          </w:tcPr>
          <w:p w14:paraId="44AB3294" w14:textId="77777777" w:rsidR="00EC6CCC" w:rsidRPr="00EC6CCC" w:rsidRDefault="00EC6CCC" w:rsidP="00EC6CCC">
            <w:pPr>
              <w:spacing w:before="0" w:after="0"/>
              <w:rPr>
                <w:rFonts w:eastAsia="Aptos" w:cs="Arial"/>
              </w:rPr>
            </w:pPr>
            <w:r w:rsidRPr="00EC6CCC">
              <w:rPr>
                <w:rFonts w:eastAsia="Aptos" w:cs="Arial"/>
              </w:rPr>
              <w:t>Total Organic Carbon</w:t>
            </w:r>
          </w:p>
        </w:tc>
        <w:tc>
          <w:tcPr>
            <w:tcW w:w="2070" w:type="dxa"/>
          </w:tcPr>
          <w:p w14:paraId="76C0320D" w14:textId="77777777" w:rsidR="00EC6CCC" w:rsidRPr="00EC6CCC" w:rsidRDefault="00EC6CCC" w:rsidP="00EC6CCC">
            <w:pPr>
              <w:spacing w:before="0" w:after="0"/>
              <w:rPr>
                <w:rFonts w:eastAsia="Aptos" w:cs="Arial"/>
              </w:rPr>
            </w:pPr>
            <w:r w:rsidRPr="00EC6CCC">
              <w:rPr>
                <w:rFonts w:eastAsia="Aptos" w:cs="Arial"/>
              </w:rPr>
              <w:t>H</w:t>
            </w:r>
            <w:r w:rsidRPr="00EC6CCC">
              <w:rPr>
                <w:rFonts w:eastAsia="Aptos" w:cs="Arial"/>
                <w:vertAlign w:val="subscript"/>
              </w:rPr>
              <w:t>2</w:t>
            </w:r>
            <w:r w:rsidRPr="00EC6CCC">
              <w:rPr>
                <w:rFonts w:eastAsia="Aptos" w:cs="Arial"/>
              </w:rPr>
              <w:t>SO</w:t>
            </w:r>
            <w:r w:rsidRPr="00EC6CCC">
              <w:rPr>
                <w:rFonts w:eastAsia="Aptos" w:cs="Arial"/>
                <w:vertAlign w:val="superscript"/>
              </w:rPr>
              <w:t>4</w:t>
            </w:r>
          </w:p>
        </w:tc>
        <w:tc>
          <w:tcPr>
            <w:tcW w:w="1327" w:type="dxa"/>
          </w:tcPr>
          <w:p w14:paraId="464D1834" w14:textId="77777777" w:rsidR="00EC6CCC" w:rsidRPr="00EC6CCC" w:rsidRDefault="00EC6CCC" w:rsidP="00EC6CCC">
            <w:pPr>
              <w:spacing w:before="0" w:after="0"/>
              <w:rPr>
                <w:rFonts w:eastAsia="Aptos" w:cs="Arial"/>
              </w:rPr>
            </w:pPr>
            <w:r w:rsidRPr="00EC6CCC">
              <w:rPr>
                <w:rFonts w:eastAsia="Aptos" w:cs="Arial"/>
              </w:rPr>
              <w:t xml:space="preserve">28 days </w:t>
            </w:r>
          </w:p>
        </w:tc>
        <w:tc>
          <w:tcPr>
            <w:tcW w:w="1463" w:type="dxa"/>
          </w:tcPr>
          <w:p w14:paraId="16A669EB" w14:textId="77777777" w:rsidR="00EC6CCC" w:rsidRPr="00EC6CCC" w:rsidRDefault="00EC6CCC" w:rsidP="00EC6CCC">
            <w:pPr>
              <w:spacing w:before="0" w:after="0"/>
              <w:rPr>
                <w:rFonts w:eastAsia="Aptos" w:cs="Arial"/>
              </w:rPr>
            </w:pPr>
            <w:r w:rsidRPr="00EC6CCC">
              <w:rPr>
                <w:rFonts w:eastAsia="Aptos" w:cs="Arial"/>
              </w:rPr>
              <w:t>0.7 mg/L</w:t>
            </w:r>
          </w:p>
        </w:tc>
        <w:tc>
          <w:tcPr>
            <w:tcW w:w="1620" w:type="dxa"/>
          </w:tcPr>
          <w:p w14:paraId="093A2CD9" w14:textId="77777777" w:rsidR="00EC6CCC" w:rsidRPr="00EC6CCC" w:rsidRDefault="00EC6CCC" w:rsidP="00EC6CCC">
            <w:pPr>
              <w:spacing w:before="0" w:after="0"/>
              <w:rPr>
                <w:rFonts w:eastAsia="Aptos" w:cs="Arial"/>
              </w:rPr>
            </w:pPr>
            <w:r w:rsidRPr="00EC6CCC">
              <w:rPr>
                <w:rFonts w:eastAsia="Aptos" w:cs="Arial"/>
              </w:rPr>
              <w:t>0.13 mg/L</w:t>
            </w:r>
          </w:p>
        </w:tc>
      </w:tr>
      <w:tr w:rsidR="00EC6CCC" w:rsidRPr="00EC6CCC" w14:paraId="2CC9DA73" w14:textId="77777777" w:rsidTr="00917EF6">
        <w:trPr>
          <w:trHeight w:val="432"/>
        </w:trPr>
        <w:tc>
          <w:tcPr>
            <w:tcW w:w="3145" w:type="dxa"/>
          </w:tcPr>
          <w:p w14:paraId="367746F1" w14:textId="77777777" w:rsidR="00EC6CCC" w:rsidRPr="00EC6CCC" w:rsidRDefault="00EC6CCC" w:rsidP="00EC6CCC">
            <w:pPr>
              <w:spacing w:before="0" w:after="0"/>
              <w:rPr>
                <w:rFonts w:eastAsia="Aptos" w:cs="Arial"/>
              </w:rPr>
            </w:pPr>
            <w:r w:rsidRPr="00EC6CCC">
              <w:rPr>
                <w:rFonts w:eastAsia="Aptos" w:cs="Arial"/>
              </w:rPr>
              <w:t>Dissolved Organic Carbon</w:t>
            </w:r>
          </w:p>
        </w:tc>
        <w:tc>
          <w:tcPr>
            <w:tcW w:w="2070" w:type="dxa"/>
          </w:tcPr>
          <w:p w14:paraId="18E95150" w14:textId="77777777" w:rsidR="00EC6CCC" w:rsidRPr="00EC6CCC" w:rsidRDefault="00EC6CCC" w:rsidP="00EC6CCC">
            <w:pPr>
              <w:spacing w:before="0" w:after="0"/>
              <w:rPr>
                <w:rFonts w:eastAsia="Aptos" w:cs="Arial"/>
              </w:rPr>
            </w:pPr>
            <w:r w:rsidRPr="00EC6CCC">
              <w:rPr>
                <w:rFonts w:eastAsia="Aptos" w:cs="Arial"/>
              </w:rPr>
              <w:t>H</w:t>
            </w:r>
            <w:r w:rsidRPr="00EC6CCC">
              <w:rPr>
                <w:rFonts w:eastAsia="Aptos" w:cs="Arial"/>
                <w:vertAlign w:val="subscript"/>
              </w:rPr>
              <w:t>2</w:t>
            </w:r>
            <w:r w:rsidRPr="00EC6CCC">
              <w:rPr>
                <w:rFonts w:eastAsia="Aptos" w:cs="Arial"/>
              </w:rPr>
              <w:t>SO</w:t>
            </w:r>
            <w:r w:rsidRPr="00EC6CCC">
              <w:rPr>
                <w:rFonts w:eastAsia="Aptos" w:cs="Arial"/>
                <w:vertAlign w:val="superscript"/>
              </w:rPr>
              <w:t>4</w:t>
            </w:r>
            <w:r w:rsidRPr="00EC6CCC">
              <w:rPr>
                <w:rFonts w:eastAsia="Aptos" w:cs="Arial"/>
              </w:rPr>
              <w:t>, field filter</w:t>
            </w:r>
          </w:p>
        </w:tc>
        <w:tc>
          <w:tcPr>
            <w:tcW w:w="1327" w:type="dxa"/>
          </w:tcPr>
          <w:p w14:paraId="49E121A9" w14:textId="77777777" w:rsidR="00EC6CCC" w:rsidRPr="00EC6CCC" w:rsidRDefault="00EC6CCC" w:rsidP="00EC6CCC">
            <w:pPr>
              <w:spacing w:before="0" w:after="0"/>
              <w:rPr>
                <w:rFonts w:eastAsia="Aptos" w:cs="Arial"/>
              </w:rPr>
            </w:pPr>
            <w:r w:rsidRPr="00EC6CCC">
              <w:rPr>
                <w:rFonts w:eastAsia="Aptos" w:cs="Arial"/>
              </w:rPr>
              <w:t>28 days</w:t>
            </w:r>
          </w:p>
        </w:tc>
        <w:tc>
          <w:tcPr>
            <w:tcW w:w="1463" w:type="dxa"/>
          </w:tcPr>
          <w:p w14:paraId="5CD521B1" w14:textId="77777777" w:rsidR="00EC6CCC" w:rsidRPr="00EC6CCC" w:rsidRDefault="00EC6CCC" w:rsidP="00EC6CCC">
            <w:pPr>
              <w:spacing w:before="0" w:after="0"/>
              <w:rPr>
                <w:rFonts w:eastAsia="Aptos" w:cs="Arial"/>
              </w:rPr>
            </w:pPr>
            <w:r w:rsidRPr="00EC6CCC">
              <w:rPr>
                <w:rFonts w:eastAsia="Aptos" w:cs="Arial"/>
              </w:rPr>
              <w:t>0.3 mg/L</w:t>
            </w:r>
          </w:p>
        </w:tc>
        <w:tc>
          <w:tcPr>
            <w:tcW w:w="1620" w:type="dxa"/>
          </w:tcPr>
          <w:p w14:paraId="777A6035" w14:textId="77777777" w:rsidR="00EC6CCC" w:rsidRPr="00EC6CCC" w:rsidRDefault="00EC6CCC" w:rsidP="00EC6CCC">
            <w:pPr>
              <w:spacing w:before="0" w:after="0"/>
              <w:rPr>
                <w:rFonts w:eastAsia="Aptos" w:cs="Arial"/>
              </w:rPr>
            </w:pPr>
            <w:r w:rsidRPr="00EC6CCC">
              <w:rPr>
                <w:rFonts w:eastAsia="Aptos" w:cs="Arial"/>
              </w:rPr>
              <w:t>0.19 mg/L</w:t>
            </w:r>
          </w:p>
        </w:tc>
      </w:tr>
    </w:tbl>
    <w:p w14:paraId="22E1BB73" w14:textId="556173E1" w:rsidR="00EC6CCC" w:rsidRDefault="00917EF6" w:rsidP="00917EF6">
      <w:pPr>
        <w:spacing w:after="0"/>
        <w:jc w:val="center"/>
      </w:pPr>
      <w:r w:rsidRPr="002F5501">
        <w:rPr>
          <w:noProof/>
        </w:rPr>
        <w:lastRenderedPageBreak/>
        <w:drawing>
          <wp:inline distT="0" distB="0" distL="0" distR="0" wp14:anchorId="16A7743B" wp14:editId="61985EDB">
            <wp:extent cx="5671958" cy="6694999"/>
            <wp:effectExtent l="0" t="0" r="5080" b="0"/>
            <wp:docPr id="4" name="Picture 3" descr="Map&#10;&#10;AI-generated content may be incorrect.">
              <a:extLst xmlns:a="http://schemas.openxmlformats.org/drawingml/2006/main">
                <a:ext uri="{FF2B5EF4-FFF2-40B4-BE49-F238E27FC236}">
                  <a16:creationId xmlns:a16="http://schemas.microsoft.com/office/drawing/2014/main" id="{832DCEC9-1DC0-34B3-2BD8-803C11188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10;&#10;AI-generated content may be incorrect.">
                      <a:extLst>
                        <a:ext uri="{FF2B5EF4-FFF2-40B4-BE49-F238E27FC236}">
                          <a16:creationId xmlns:a16="http://schemas.microsoft.com/office/drawing/2014/main" id="{832DCEC9-1DC0-34B3-2BD8-803C1118800E}"/>
                        </a:ext>
                      </a:extLst>
                    </pic:cNvPr>
                    <pic:cNvPicPr>
                      <a:picLocks noChangeAspect="1"/>
                    </pic:cNvPicPr>
                  </pic:nvPicPr>
                  <pic:blipFill>
                    <a:blip r:embed="rId14"/>
                    <a:stretch>
                      <a:fillRect/>
                    </a:stretch>
                  </pic:blipFill>
                  <pic:spPr>
                    <a:xfrm>
                      <a:off x="0" y="0"/>
                      <a:ext cx="5697050" cy="6724617"/>
                    </a:xfrm>
                    <a:prstGeom prst="rect">
                      <a:avLst/>
                    </a:prstGeom>
                  </pic:spPr>
                </pic:pic>
              </a:graphicData>
            </a:graphic>
          </wp:inline>
        </w:drawing>
      </w:r>
    </w:p>
    <w:p w14:paraId="046C7F03" w14:textId="2FD701BB" w:rsidR="00917EF6" w:rsidRDefault="00917EF6" w:rsidP="18885A27">
      <w:pPr>
        <w:pStyle w:val="Caption"/>
        <w:rPr>
          <w:i w:val="0"/>
          <w:iCs w:val="0"/>
          <w:color w:val="auto"/>
          <w:sz w:val="24"/>
          <w:szCs w:val="24"/>
        </w:rPr>
      </w:pPr>
      <w:r w:rsidRPr="18885A27">
        <w:rPr>
          <w:b/>
          <w:bCs/>
          <w:i w:val="0"/>
          <w:iCs w:val="0"/>
          <w:color w:val="auto"/>
          <w:sz w:val="24"/>
          <w:szCs w:val="24"/>
        </w:rPr>
        <w:t xml:space="preserve">Figure </w:t>
      </w:r>
      <w:r w:rsidRPr="18885A27">
        <w:rPr>
          <w:b/>
          <w:bCs/>
          <w:i w:val="0"/>
          <w:iCs w:val="0"/>
          <w:color w:val="auto"/>
          <w:sz w:val="24"/>
          <w:szCs w:val="24"/>
        </w:rPr>
        <w:fldChar w:fldCharType="begin"/>
      </w:r>
      <w:r w:rsidRPr="18885A27">
        <w:rPr>
          <w:b/>
          <w:bCs/>
          <w:i w:val="0"/>
          <w:iCs w:val="0"/>
          <w:color w:val="auto"/>
          <w:sz w:val="24"/>
          <w:szCs w:val="24"/>
        </w:rPr>
        <w:instrText xml:space="preserve"> SEQ Figure \* ARABIC </w:instrText>
      </w:r>
      <w:r w:rsidRPr="18885A27">
        <w:rPr>
          <w:b/>
          <w:bCs/>
          <w:i w:val="0"/>
          <w:iCs w:val="0"/>
          <w:color w:val="auto"/>
          <w:sz w:val="24"/>
          <w:szCs w:val="24"/>
        </w:rPr>
        <w:fldChar w:fldCharType="separate"/>
      </w:r>
      <w:r w:rsidRPr="18885A27">
        <w:rPr>
          <w:b/>
          <w:bCs/>
          <w:i w:val="0"/>
          <w:iCs w:val="0"/>
          <w:noProof/>
          <w:color w:val="auto"/>
          <w:sz w:val="24"/>
          <w:szCs w:val="24"/>
        </w:rPr>
        <w:t>2</w:t>
      </w:r>
      <w:r w:rsidRPr="18885A27">
        <w:rPr>
          <w:b/>
          <w:bCs/>
          <w:i w:val="0"/>
          <w:iCs w:val="0"/>
          <w:color w:val="auto"/>
          <w:sz w:val="24"/>
          <w:szCs w:val="24"/>
        </w:rPr>
        <w:fldChar w:fldCharType="end"/>
      </w:r>
      <w:r w:rsidRPr="18885A27">
        <w:rPr>
          <w:b/>
          <w:bCs/>
          <w:i w:val="0"/>
          <w:iCs w:val="0"/>
          <w:color w:val="auto"/>
          <w:sz w:val="24"/>
          <w:szCs w:val="24"/>
        </w:rPr>
        <w:t>.</w:t>
      </w:r>
      <w:r w:rsidRPr="18885A27">
        <w:rPr>
          <w:i w:val="0"/>
          <w:iCs w:val="0"/>
          <w:color w:val="auto"/>
          <w:sz w:val="24"/>
          <w:szCs w:val="24"/>
        </w:rPr>
        <w:t xml:space="preserve"> Monthly grab samples were collected from June through October 2024 at the eight locations shown. Samples were analyzed for various nitrogen and phosphorus species.</w:t>
      </w:r>
    </w:p>
    <w:p w14:paraId="1A50BF3C" w14:textId="31310C07" w:rsidR="18885A27" w:rsidRPr="00EF02C5" w:rsidRDefault="18885A27" w:rsidP="00E06A02"/>
    <w:p w14:paraId="7B1F890F" w14:textId="3FCCAF3C" w:rsidR="00917EF6" w:rsidRDefault="00917EF6" w:rsidP="00917EF6">
      <w:pPr>
        <w:pStyle w:val="Heading1"/>
        <w:numPr>
          <w:ilvl w:val="0"/>
          <w:numId w:val="2"/>
        </w:numPr>
      </w:pPr>
      <w:r>
        <w:lastRenderedPageBreak/>
        <w:t>Hypolimnetic Oxygenation System (HOS) Effectiveness Monitoring</w:t>
      </w:r>
    </w:p>
    <w:p w14:paraId="5FB2FEAB" w14:textId="00CA6F4F" w:rsidR="00917EF6" w:rsidRDefault="00917EF6" w:rsidP="00917EF6">
      <w:r>
        <w:t xml:space="preserve">To evaluate the effectiveness of the Hypolimnetic Oxygenation System (HOS) currently deployed in the Glen Echo Arm, we propose a revised monitoring strategy for 2025. Instead of deploying Station 4 (Rover) at the HOS outlet/diffuser, the TAC recommends that boat-based </w:t>
      </w:r>
      <w:proofErr w:type="gramStart"/>
      <w:r>
        <w:t>surveys to</w:t>
      </w:r>
      <w:proofErr w:type="gramEnd"/>
      <w:r>
        <w:t xml:space="preserve"> </w:t>
      </w:r>
      <w:r w:rsidR="005A4017">
        <w:t xml:space="preserve">be conducted to </w:t>
      </w:r>
      <w:r>
        <w:t xml:space="preserve">collect DO measurements at multiple distances and depths from the diffuser. This approach will enable assessment of the spatial extent of HOS influence both laterally across the lake and vertically throughout the water column. </w:t>
      </w:r>
    </w:p>
    <w:p w14:paraId="756566B4" w14:textId="75069B4D" w:rsidR="00917EF6" w:rsidRDefault="00917EF6" w:rsidP="00917EF6">
      <w:r>
        <w:t xml:space="preserve">We propose conducting these boat-based surveys every other month from June through December 2025 to capture </w:t>
      </w:r>
      <w:r w:rsidR="38A055A1">
        <w:t xml:space="preserve">HOS effects across many </w:t>
      </w:r>
      <w:r>
        <w:t>season</w:t>
      </w:r>
      <w:r w:rsidR="1CB2E853">
        <w:t>s</w:t>
      </w:r>
      <w:r>
        <w:t xml:space="preserve">. This schedule will result in a total of four surveys (i.e., June, August, October, December) that will generate comparative data on system effectiveness. Each survey will include a period when the HOS system is operational as well as a period when the system is turned off. To assess the full influence of the system, we recommend allowing the HOS to run continuously for at least seven days prior to each “on” survey. Conversely, “off” surveys should be conducted within two days of the system being shut down to observe immediate changes in water column conditions. Each survey will measure instantaneous dissolved oxygen using a sonde at the HOS outlet/diffuser, as well as at distances of </w:t>
      </w:r>
      <w:r w:rsidR="003649F9">
        <w:t xml:space="preserve">10, </w:t>
      </w:r>
      <w:r>
        <w:t>25, 50, 100, and 200 feet away in four directions. Measurements should be collected within a 1–</w:t>
      </w:r>
      <w:proofErr w:type="gramStart"/>
      <w:r>
        <w:t>2 hour</w:t>
      </w:r>
      <w:proofErr w:type="gramEnd"/>
      <w:r>
        <w:t xml:space="preserve"> window to minimize variability due to daily DO cycles. </w:t>
      </w:r>
      <w:r w:rsidR="00D34A17">
        <w:t xml:space="preserve">Staff will consider </w:t>
      </w:r>
      <w:r w:rsidR="00B05F97">
        <w:t xml:space="preserve">the effects of incoming and outgoing tides </w:t>
      </w:r>
      <w:r w:rsidR="002D1549">
        <w:t xml:space="preserve">during these </w:t>
      </w:r>
      <w:r w:rsidR="001C4FB6">
        <w:t xml:space="preserve">boat-based </w:t>
      </w:r>
      <w:r w:rsidR="002D1549">
        <w:t>surveys.</w:t>
      </w:r>
    </w:p>
    <w:p w14:paraId="61376CA9" w14:textId="1462BBAB" w:rsidR="00777C51" w:rsidRPr="00917EF6" w:rsidRDefault="00777C51" w:rsidP="00777C51"/>
    <w:sectPr w:rsidR="00777C51" w:rsidRPr="00917EF6" w:rsidSect="00AA050C">
      <w:headerReference w:type="default" r:id="rId15"/>
      <w:footerReference w:type="default" r:id="rId16"/>
      <w:footerReference w:type="first" r:id="rId17"/>
      <w:pgSz w:w="12240" w:h="15840" w:code="1"/>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D03C0" w14:textId="77777777" w:rsidR="00C9785C" w:rsidRDefault="00C9785C" w:rsidP="00EC6CCC">
      <w:r>
        <w:separator/>
      </w:r>
    </w:p>
  </w:endnote>
  <w:endnote w:type="continuationSeparator" w:id="0">
    <w:p w14:paraId="2DDF007E" w14:textId="77777777" w:rsidR="00C9785C" w:rsidRDefault="00C9785C" w:rsidP="00EC6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0414352"/>
      <w:docPartObj>
        <w:docPartGallery w:val="Page Numbers (Bottom of Page)"/>
        <w:docPartUnique/>
      </w:docPartObj>
    </w:sdtPr>
    <w:sdtEndPr>
      <w:rPr>
        <w:noProof/>
      </w:rPr>
    </w:sdtEndPr>
    <w:sdtContent>
      <w:p w14:paraId="2379058E" w14:textId="7C00E95F" w:rsidR="00917EF6" w:rsidRDefault="00917EF6" w:rsidP="00917EF6">
        <w:pPr>
          <w:pStyle w:val="Footer"/>
          <w:jc w:val="center"/>
        </w:pPr>
        <w:r w:rsidRPr="00917EF6">
          <w:rPr>
            <w:rFonts w:ascii="Arial" w:hAnsi="Arial" w:cs="Arial"/>
          </w:rPr>
          <w:fldChar w:fldCharType="begin"/>
        </w:r>
        <w:r w:rsidRPr="00917EF6">
          <w:rPr>
            <w:rFonts w:ascii="Arial" w:hAnsi="Arial" w:cs="Arial"/>
          </w:rPr>
          <w:instrText xml:space="preserve"> PAGE   \* MERGEFORMAT </w:instrText>
        </w:r>
        <w:r w:rsidRPr="00917EF6">
          <w:rPr>
            <w:rFonts w:ascii="Arial" w:hAnsi="Arial" w:cs="Arial"/>
          </w:rPr>
          <w:fldChar w:fldCharType="separate"/>
        </w:r>
        <w:r w:rsidR="009D5BEE">
          <w:rPr>
            <w:rFonts w:ascii="Arial" w:hAnsi="Arial" w:cs="Arial"/>
            <w:noProof/>
          </w:rPr>
          <w:t>3</w:t>
        </w:r>
        <w:r w:rsidRPr="00917EF6">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AC9D3" w14:textId="77777777" w:rsidR="00C06CDD" w:rsidRPr="00DB50BE" w:rsidRDefault="003D2F3B" w:rsidP="00EC6CCC">
    <w:pPr>
      <w:pStyle w:val="Footer"/>
    </w:pPr>
    <w:r>
      <w:rPr>
        <w:noProof/>
      </w:rPr>
      <w:drawing>
        <wp:inline distT="0" distB="0" distL="0" distR="0" wp14:anchorId="482FB46D" wp14:editId="69298D37">
          <wp:extent cx="5945487" cy="649097"/>
          <wp:effectExtent l="0" t="0" r="0" b="0"/>
          <wp:docPr id="3" name="Picture 3" descr="Alexis Strauss Hacker, Chair | Eileen M. White, Executive Officer; 1515 Clay St., Suite 1400, Oakland, CA 94612 | www.waterboards.ca.gov/sanfrancisco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lexis Strauss Hacker, Chair | Eileen M. White, Executive Officer; 1515 Clay St., Suite 1400, Oakland, CA 94612 | www.waterboards.ca.gov/sanfranciscob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5487" cy="64909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18786" w14:textId="77777777" w:rsidR="00C9785C" w:rsidRDefault="00C9785C" w:rsidP="00EC6CCC">
      <w:r>
        <w:separator/>
      </w:r>
    </w:p>
  </w:footnote>
  <w:footnote w:type="continuationSeparator" w:id="0">
    <w:p w14:paraId="7A285D56" w14:textId="77777777" w:rsidR="00C9785C" w:rsidRDefault="00C9785C" w:rsidP="00EC6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AAE23" w14:textId="65B94BFB" w:rsidR="00917EF6" w:rsidRPr="00917EF6" w:rsidRDefault="00917EF6" w:rsidP="00917EF6">
    <w:pPr>
      <w:tabs>
        <w:tab w:val="center" w:pos="4680"/>
        <w:tab w:val="right" w:pos="9360"/>
      </w:tabs>
      <w:spacing w:before="0" w:after="0" w:line="259" w:lineRule="auto"/>
      <w:rPr>
        <w:rFonts w:eastAsia="Calibri" w:cs="Arial"/>
        <w:b/>
        <w:i/>
        <w:sz w:val="20"/>
        <w:szCs w:val="22"/>
      </w:rPr>
    </w:pPr>
    <w:r>
      <w:rPr>
        <w:rFonts w:eastAsia="Calibri" w:cs="Arial"/>
        <w:b/>
        <w:i/>
        <w:sz w:val="20"/>
        <w:szCs w:val="22"/>
      </w:rPr>
      <w:t>2025 Lake Merritt Water Quality Monitoring Plan</w:t>
    </w:r>
    <w:r w:rsidRPr="00917EF6">
      <w:rPr>
        <w:rFonts w:eastAsia="Calibri" w:cs="Arial"/>
        <w:b/>
        <w:i/>
        <w:sz w:val="20"/>
        <w:szCs w:val="22"/>
      </w:rPr>
      <w:tab/>
    </w:r>
    <w:r w:rsidRPr="00917EF6">
      <w:rPr>
        <w:rFonts w:eastAsia="Calibri" w:cs="Arial"/>
        <w:b/>
        <w:i/>
        <w:sz w:val="20"/>
        <w:szCs w:val="22"/>
      </w:rPr>
      <w:tab/>
    </w:r>
    <w:r w:rsidR="002901EE">
      <w:rPr>
        <w:rFonts w:eastAsia="Calibri" w:cs="Arial"/>
        <w:b/>
        <w:i/>
        <w:sz w:val="20"/>
        <w:szCs w:val="22"/>
      </w:rPr>
      <w:t>June</w:t>
    </w:r>
    <w:r w:rsidRPr="00917EF6">
      <w:rPr>
        <w:rFonts w:eastAsia="Calibri" w:cs="Arial"/>
        <w:b/>
        <w:i/>
        <w:sz w:val="20"/>
        <w:szCs w:val="22"/>
      </w:rPr>
      <w:t xml:space="preserve"> 2025</w:t>
    </w:r>
  </w:p>
  <w:p w14:paraId="65F7BDE0" w14:textId="1EA5062D" w:rsidR="00C06CDD" w:rsidRPr="00917EF6" w:rsidRDefault="00C06CDD" w:rsidP="00917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F3863"/>
    <w:multiLevelType w:val="hybridMultilevel"/>
    <w:tmpl w:val="FAE0F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BD5814"/>
    <w:multiLevelType w:val="hybridMultilevel"/>
    <w:tmpl w:val="D096AD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43021681">
    <w:abstractNumId w:val="0"/>
  </w:num>
  <w:num w:numId="2" w16cid:durableId="11035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CCC"/>
    <w:rsid w:val="00015671"/>
    <w:rsid w:val="00030DCD"/>
    <w:rsid w:val="0003384D"/>
    <w:rsid w:val="00035162"/>
    <w:rsid w:val="000373DD"/>
    <w:rsid w:val="00060067"/>
    <w:rsid w:val="00061867"/>
    <w:rsid w:val="00070529"/>
    <w:rsid w:val="000A2F98"/>
    <w:rsid w:val="000E1A96"/>
    <w:rsid w:val="000F6223"/>
    <w:rsid w:val="0013606E"/>
    <w:rsid w:val="001A067C"/>
    <w:rsid w:val="001A4C63"/>
    <w:rsid w:val="001A6FBC"/>
    <w:rsid w:val="001C4FB6"/>
    <w:rsid w:val="001C5FD1"/>
    <w:rsid w:val="001E16EF"/>
    <w:rsid w:val="001E3E83"/>
    <w:rsid w:val="001E6EC1"/>
    <w:rsid w:val="00215E95"/>
    <w:rsid w:val="00252488"/>
    <w:rsid w:val="00253480"/>
    <w:rsid w:val="00257E37"/>
    <w:rsid w:val="00263C94"/>
    <w:rsid w:val="002710CE"/>
    <w:rsid w:val="00275080"/>
    <w:rsid w:val="00286093"/>
    <w:rsid w:val="002901EE"/>
    <w:rsid w:val="002A4CD6"/>
    <w:rsid w:val="002C2FA9"/>
    <w:rsid w:val="002C78DD"/>
    <w:rsid w:val="002D1549"/>
    <w:rsid w:val="00302A19"/>
    <w:rsid w:val="00316CC3"/>
    <w:rsid w:val="00327EDB"/>
    <w:rsid w:val="00332F75"/>
    <w:rsid w:val="00354E59"/>
    <w:rsid w:val="003649F9"/>
    <w:rsid w:val="00365C73"/>
    <w:rsid w:val="0038300A"/>
    <w:rsid w:val="0039300C"/>
    <w:rsid w:val="003A7B50"/>
    <w:rsid w:val="003B72B5"/>
    <w:rsid w:val="003C385E"/>
    <w:rsid w:val="003D2F3B"/>
    <w:rsid w:val="003D79C5"/>
    <w:rsid w:val="003F2C44"/>
    <w:rsid w:val="003F426A"/>
    <w:rsid w:val="004028B2"/>
    <w:rsid w:val="00407818"/>
    <w:rsid w:val="004462CA"/>
    <w:rsid w:val="00490EF7"/>
    <w:rsid w:val="004A3710"/>
    <w:rsid w:val="004C6585"/>
    <w:rsid w:val="004F1BD2"/>
    <w:rsid w:val="004F2AB6"/>
    <w:rsid w:val="00503682"/>
    <w:rsid w:val="00520357"/>
    <w:rsid w:val="0052235B"/>
    <w:rsid w:val="00563229"/>
    <w:rsid w:val="0057298B"/>
    <w:rsid w:val="005771A5"/>
    <w:rsid w:val="00593A80"/>
    <w:rsid w:val="005A4017"/>
    <w:rsid w:val="005A7DD9"/>
    <w:rsid w:val="005C1322"/>
    <w:rsid w:val="005C54E1"/>
    <w:rsid w:val="005D61C0"/>
    <w:rsid w:val="006063E0"/>
    <w:rsid w:val="00626350"/>
    <w:rsid w:val="00626D85"/>
    <w:rsid w:val="006312E2"/>
    <w:rsid w:val="00651F2D"/>
    <w:rsid w:val="00652799"/>
    <w:rsid w:val="006638B3"/>
    <w:rsid w:val="00676175"/>
    <w:rsid w:val="00690390"/>
    <w:rsid w:val="006B0825"/>
    <w:rsid w:val="006C1228"/>
    <w:rsid w:val="006C1CE7"/>
    <w:rsid w:val="006C7417"/>
    <w:rsid w:val="006D7F68"/>
    <w:rsid w:val="0070295C"/>
    <w:rsid w:val="00731974"/>
    <w:rsid w:val="007450DC"/>
    <w:rsid w:val="00777C51"/>
    <w:rsid w:val="0078281E"/>
    <w:rsid w:val="007A2A4E"/>
    <w:rsid w:val="007D450C"/>
    <w:rsid w:val="007E2D64"/>
    <w:rsid w:val="007E67D2"/>
    <w:rsid w:val="007F1E4A"/>
    <w:rsid w:val="007F7304"/>
    <w:rsid w:val="00814289"/>
    <w:rsid w:val="00817698"/>
    <w:rsid w:val="0082395E"/>
    <w:rsid w:val="008649FF"/>
    <w:rsid w:val="00883446"/>
    <w:rsid w:val="00893B59"/>
    <w:rsid w:val="008A3AF5"/>
    <w:rsid w:val="0090791C"/>
    <w:rsid w:val="00910AD9"/>
    <w:rsid w:val="009113E3"/>
    <w:rsid w:val="00917EF6"/>
    <w:rsid w:val="00954988"/>
    <w:rsid w:val="00956CEA"/>
    <w:rsid w:val="00960A27"/>
    <w:rsid w:val="00966C4F"/>
    <w:rsid w:val="0098569F"/>
    <w:rsid w:val="009B451F"/>
    <w:rsid w:val="009D5330"/>
    <w:rsid w:val="009D5BEE"/>
    <w:rsid w:val="009D76B2"/>
    <w:rsid w:val="00A202B2"/>
    <w:rsid w:val="00A51D61"/>
    <w:rsid w:val="00A65896"/>
    <w:rsid w:val="00A7164C"/>
    <w:rsid w:val="00A74891"/>
    <w:rsid w:val="00A85943"/>
    <w:rsid w:val="00A920AC"/>
    <w:rsid w:val="00AA050C"/>
    <w:rsid w:val="00AC5A97"/>
    <w:rsid w:val="00AE4888"/>
    <w:rsid w:val="00B01920"/>
    <w:rsid w:val="00B05F97"/>
    <w:rsid w:val="00B24B1F"/>
    <w:rsid w:val="00B36DF3"/>
    <w:rsid w:val="00B515DF"/>
    <w:rsid w:val="00B735FF"/>
    <w:rsid w:val="00B740C2"/>
    <w:rsid w:val="00B82EDD"/>
    <w:rsid w:val="00B85BD4"/>
    <w:rsid w:val="00B92CC0"/>
    <w:rsid w:val="00BE283A"/>
    <w:rsid w:val="00BF39C4"/>
    <w:rsid w:val="00C06CDD"/>
    <w:rsid w:val="00C263BA"/>
    <w:rsid w:val="00C314FE"/>
    <w:rsid w:val="00C42306"/>
    <w:rsid w:val="00C45BE0"/>
    <w:rsid w:val="00C76739"/>
    <w:rsid w:val="00C864DF"/>
    <w:rsid w:val="00C9785C"/>
    <w:rsid w:val="00CA78EE"/>
    <w:rsid w:val="00CB4187"/>
    <w:rsid w:val="00CD3CBF"/>
    <w:rsid w:val="00CD6222"/>
    <w:rsid w:val="00CE3292"/>
    <w:rsid w:val="00D17D89"/>
    <w:rsid w:val="00D21E05"/>
    <w:rsid w:val="00D34A17"/>
    <w:rsid w:val="00D363AD"/>
    <w:rsid w:val="00D61E0C"/>
    <w:rsid w:val="00D62EBD"/>
    <w:rsid w:val="00D7154E"/>
    <w:rsid w:val="00D92572"/>
    <w:rsid w:val="00DA607B"/>
    <w:rsid w:val="00DB50BE"/>
    <w:rsid w:val="00DC0A7E"/>
    <w:rsid w:val="00DC7562"/>
    <w:rsid w:val="00DD10DB"/>
    <w:rsid w:val="00DD61A9"/>
    <w:rsid w:val="00DE6499"/>
    <w:rsid w:val="00E06A02"/>
    <w:rsid w:val="00E15F16"/>
    <w:rsid w:val="00E22187"/>
    <w:rsid w:val="00E2529E"/>
    <w:rsid w:val="00E93D55"/>
    <w:rsid w:val="00E94D72"/>
    <w:rsid w:val="00EA0A2F"/>
    <w:rsid w:val="00EA2370"/>
    <w:rsid w:val="00EB23E4"/>
    <w:rsid w:val="00EC6CCC"/>
    <w:rsid w:val="00ED4B04"/>
    <w:rsid w:val="00ED6705"/>
    <w:rsid w:val="00EF02C5"/>
    <w:rsid w:val="00EF78C1"/>
    <w:rsid w:val="00F34F01"/>
    <w:rsid w:val="00F37068"/>
    <w:rsid w:val="00F5048C"/>
    <w:rsid w:val="00FD6D4C"/>
    <w:rsid w:val="011DD27D"/>
    <w:rsid w:val="18885A27"/>
    <w:rsid w:val="1CB2E853"/>
    <w:rsid w:val="20D9871C"/>
    <w:rsid w:val="2312EE6A"/>
    <w:rsid w:val="38A055A1"/>
    <w:rsid w:val="396DA193"/>
    <w:rsid w:val="48B601EC"/>
    <w:rsid w:val="54F70128"/>
    <w:rsid w:val="560BDAB2"/>
    <w:rsid w:val="56AB5A79"/>
    <w:rsid w:val="5D0AFCD6"/>
    <w:rsid w:val="5D3BAF9F"/>
    <w:rsid w:val="6D24B8C2"/>
    <w:rsid w:val="70067C7B"/>
    <w:rsid w:val="731CE833"/>
    <w:rsid w:val="75C2AD40"/>
    <w:rsid w:val="788F3876"/>
    <w:rsid w:val="7BB11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0EAAE4"/>
  <w15:chartTrackingRefBased/>
  <w15:docId w15:val="{1C20F094-4C8A-4522-B90C-B7BE50E44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CCC"/>
    <w:pPr>
      <w:spacing w:before="240" w:after="160"/>
    </w:pPr>
    <w:rPr>
      <w:rFonts w:ascii="Arial" w:eastAsia="Times New Roman" w:hAnsi="Arial" w:cs="Times New Roman"/>
    </w:rPr>
  </w:style>
  <w:style w:type="paragraph" w:styleId="Heading1">
    <w:name w:val="heading 1"/>
    <w:basedOn w:val="LetterOrg"/>
    <w:next w:val="Normal"/>
    <w:link w:val="Heading1Char"/>
    <w:uiPriority w:val="9"/>
    <w:qFormat/>
    <w:rsid w:val="00275080"/>
    <w:pPr>
      <w:outlineLvl w:val="0"/>
    </w:pPr>
  </w:style>
  <w:style w:type="paragraph" w:styleId="Heading3">
    <w:name w:val="heading 3"/>
    <w:basedOn w:val="Normal"/>
    <w:next w:val="Normal"/>
    <w:link w:val="Heading3Char"/>
    <w:uiPriority w:val="9"/>
    <w:semiHidden/>
    <w:unhideWhenUsed/>
    <w:qFormat/>
    <w:rsid w:val="00EA0A2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0791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90791C"/>
  </w:style>
  <w:style w:type="paragraph" w:styleId="Footer">
    <w:name w:val="footer"/>
    <w:basedOn w:val="Normal"/>
    <w:link w:val="FooterChar"/>
    <w:uiPriority w:val="99"/>
    <w:unhideWhenUsed/>
    <w:rsid w:val="0090791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0791C"/>
  </w:style>
  <w:style w:type="character" w:styleId="PageNumber">
    <w:name w:val="page number"/>
    <w:basedOn w:val="DefaultParagraphFont"/>
    <w:rsid w:val="00C263BA"/>
  </w:style>
  <w:style w:type="character" w:customStyle="1" w:styleId="Heading1Char">
    <w:name w:val="Heading 1 Char"/>
    <w:basedOn w:val="DefaultParagraphFont"/>
    <w:link w:val="Heading1"/>
    <w:uiPriority w:val="9"/>
    <w:rsid w:val="00275080"/>
    <w:rPr>
      <w:rFonts w:ascii="Arial" w:eastAsiaTheme="majorEastAsia" w:hAnsi="Arial" w:cs="Arial"/>
      <w:color w:val="2F5496" w:themeColor="accent1" w:themeShade="BF"/>
      <w:sz w:val="32"/>
      <w:szCs w:val="32"/>
    </w:rPr>
  </w:style>
  <w:style w:type="paragraph" w:customStyle="1" w:styleId="LetterOrg">
    <w:name w:val="LetterOrg"/>
    <w:qFormat/>
    <w:rsid w:val="007D450C"/>
    <w:pPr>
      <w:spacing w:before="120" w:after="240"/>
    </w:pPr>
    <w:rPr>
      <w:rFonts w:ascii="Arial" w:eastAsiaTheme="majorEastAsia" w:hAnsi="Arial" w:cs="Arial"/>
      <w:color w:val="2F5496" w:themeColor="accent1" w:themeShade="BF"/>
      <w:sz w:val="32"/>
      <w:szCs w:val="32"/>
    </w:rPr>
  </w:style>
  <w:style w:type="character" w:styleId="Hyperlink">
    <w:name w:val="Hyperlink"/>
    <w:basedOn w:val="DefaultParagraphFont"/>
    <w:uiPriority w:val="99"/>
    <w:unhideWhenUsed/>
    <w:rsid w:val="00676175"/>
    <w:rPr>
      <w:color w:val="0563C1" w:themeColor="hyperlink"/>
      <w:u w:val="single"/>
    </w:rPr>
  </w:style>
  <w:style w:type="character" w:customStyle="1" w:styleId="UnresolvedMention1">
    <w:name w:val="Unresolved Mention1"/>
    <w:basedOn w:val="DefaultParagraphFont"/>
    <w:uiPriority w:val="99"/>
    <w:semiHidden/>
    <w:unhideWhenUsed/>
    <w:rsid w:val="00676175"/>
    <w:rPr>
      <w:color w:val="605E5C"/>
      <w:shd w:val="clear" w:color="auto" w:fill="E1DFDD"/>
    </w:rPr>
  </w:style>
  <w:style w:type="paragraph" w:styleId="Title">
    <w:name w:val="Title"/>
    <w:aliases w:val="Table Title,Table/Figure Title"/>
    <w:basedOn w:val="Normal"/>
    <w:next w:val="Normal"/>
    <w:link w:val="TitleChar"/>
    <w:uiPriority w:val="10"/>
    <w:qFormat/>
    <w:rsid w:val="00EC6CCC"/>
    <w:pPr>
      <w:contextualSpacing/>
    </w:pPr>
    <w:rPr>
      <w:rFonts w:eastAsiaTheme="majorEastAsia" w:cstheme="majorBidi"/>
      <w:b/>
      <w:spacing w:val="-10"/>
      <w:kern w:val="28"/>
      <w:sz w:val="28"/>
      <w:szCs w:val="56"/>
    </w:rPr>
  </w:style>
  <w:style w:type="character" w:customStyle="1" w:styleId="TitleChar">
    <w:name w:val="Title Char"/>
    <w:aliases w:val="Table Title Char,Table/Figure Title Char"/>
    <w:basedOn w:val="DefaultParagraphFont"/>
    <w:link w:val="Title"/>
    <w:uiPriority w:val="10"/>
    <w:rsid w:val="00EC6CCC"/>
    <w:rPr>
      <w:rFonts w:ascii="Arial" w:eastAsiaTheme="majorEastAsia" w:hAnsi="Arial" w:cstheme="majorBidi"/>
      <w:b/>
      <w:spacing w:val="-10"/>
      <w:kern w:val="28"/>
      <w:sz w:val="28"/>
      <w:szCs w:val="56"/>
    </w:rPr>
  </w:style>
  <w:style w:type="paragraph" w:styleId="BlockText">
    <w:name w:val="Block Text"/>
    <w:basedOn w:val="Normal"/>
    <w:uiPriority w:val="99"/>
    <w:unhideWhenUsed/>
    <w:rsid w:val="00EC6CCC"/>
    <w:pPr>
      <w:spacing w:after="120" w:line="259" w:lineRule="auto"/>
      <w:ind w:left="1440" w:right="1440"/>
    </w:pPr>
    <w:rPr>
      <w:rFonts w:eastAsiaTheme="minorHAnsi" w:cstheme="minorBidi"/>
      <w:szCs w:val="22"/>
    </w:rPr>
  </w:style>
  <w:style w:type="paragraph" w:styleId="ListParagraph">
    <w:name w:val="List Paragraph"/>
    <w:basedOn w:val="Normal"/>
    <w:uiPriority w:val="34"/>
    <w:qFormat/>
    <w:rsid w:val="00EC6CCC"/>
    <w:pPr>
      <w:ind w:left="720"/>
      <w:contextualSpacing/>
    </w:pPr>
  </w:style>
  <w:style w:type="paragraph" w:styleId="Caption">
    <w:name w:val="caption"/>
    <w:basedOn w:val="Normal"/>
    <w:next w:val="Normal"/>
    <w:uiPriority w:val="35"/>
    <w:unhideWhenUsed/>
    <w:qFormat/>
    <w:rsid w:val="00EC6CCC"/>
    <w:pPr>
      <w:spacing w:before="0" w:after="200"/>
    </w:pPr>
    <w:rPr>
      <w:i/>
      <w:iCs/>
      <w:color w:val="44546A" w:themeColor="text2"/>
      <w:sz w:val="18"/>
      <w:szCs w:val="18"/>
    </w:rPr>
  </w:style>
  <w:style w:type="table" w:customStyle="1" w:styleId="TableGrid1">
    <w:name w:val="Table Grid1"/>
    <w:basedOn w:val="TableNormal"/>
    <w:next w:val="TableGrid"/>
    <w:uiPriority w:val="39"/>
    <w:rsid w:val="00EC6CCC"/>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C6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7EF6"/>
    <w:rPr>
      <w:sz w:val="16"/>
      <w:szCs w:val="16"/>
    </w:rPr>
  </w:style>
  <w:style w:type="paragraph" w:styleId="CommentText">
    <w:name w:val="annotation text"/>
    <w:basedOn w:val="Normal"/>
    <w:link w:val="CommentTextChar"/>
    <w:uiPriority w:val="99"/>
    <w:unhideWhenUsed/>
    <w:rsid w:val="00917EF6"/>
    <w:pPr>
      <w:spacing w:before="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917EF6"/>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BF39C4"/>
    <w:pPr>
      <w:spacing w:before="240"/>
    </w:pPr>
    <w:rPr>
      <w:rFonts w:ascii="Arial" w:eastAsia="Times New Roman" w:hAnsi="Arial" w:cs="Times New Roman"/>
      <w:b/>
      <w:bCs/>
      <w:kern w:val="0"/>
      <w14:ligatures w14:val="none"/>
    </w:rPr>
  </w:style>
  <w:style w:type="character" w:customStyle="1" w:styleId="CommentSubjectChar">
    <w:name w:val="Comment Subject Char"/>
    <w:basedOn w:val="CommentTextChar"/>
    <w:link w:val="CommentSubject"/>
    <w:uiPriority w:val="99"/>
    <w:semiHidden/>
    <w:rsid w:val="00BF39C4"/>
    <w:rPr>
      <w:rFonts w:ascii="Arial" w:eastAsia="Times New Roman" w:hAnsi="Arial" w:cs="Times New Roman"/>
      <w:b/>
      <w:bCs/>
      <w:kern w:val="2"/>
      <w:sz w:val="20"/>
      <w:szCs w:val="20"/>
      <w14:ligatures w14:val="standardContextual"/>
    </w:rPr>
  </w:style>
  <w:style w:type="paragraph" w:styleId="Revision">
    <w:name w:val="Revision"/>
    <w:hidden/>
    <w:uiPriority w:val="99"/>
    <w:semiHidden/>
    <w:rsid w:val="00E06A02"/>
    <w:rPr>
      <w:rFonts w:ascii="Arial" w:eastAsia="Times New Roman" w:hAnsi="Arial" w:cs="Times New Roman"/>
    </w:rPr>
  </w:style>
  <w:style w:type="character" w:customStyle="1" w:styleId="Mention1">
    <w:name w:val="Mention1"/>
    <w:basedOn w:val="DefaultParagraphFont"/>
    <w:uiPriority w:val="99"/>
    <w:unhideWhenUsed/>
    <w:rsid w:val="00EF02C5"/>
    <w:rPr>
      <w:color w:val="2B579A"/>
      <w:shd w:val="clear" w:color="auto" w:fill="E1DFDD"/>
    </w:rPr>
  </w:style>
  <w:style w:type="character" w:customStyle="1" w:styleId="Heading3Char">
    <w:name w:val="Heading 3 Char"/>
    <w:basedOn w:val="DefaultParagraphFont"/>
    <w:link w:val="Heading3"/>
    <w:uiPriority w:val="9"/>
    <w:semiHidden/>
    <w:rsid w:val="00EA0A2F"/>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78281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8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4360174">
      <w:bodyDiv w:val="1"/>
      <w:marLeft w:val="0"/>
      <w:marRight w:val="0"/>
      <w:marTop w:val="0"/>
      <w:marBottom w:val="0"/>
      <w:divBdr>
        <w:top w:val="none" w:sz="0" w:space="0" w:color="auto"/>
        <w:left w:val="none" w:sz="0" w:space="0" w:color="auto"/>
        <w:bottom w:val="none" w:sz="0" w:space="0" w:color="auto"/>
        <w:right w:val="none" w:sz="0" w:space="0" w:color="auto"/>
      </w:divBdr>
    </w:div>
    <w:div w:id="1028947878">
      <w:bodyDiv w:val="1"/>
      <w:marLeft w:val="0"/>
      <w:marRight w:val="0"/>
      <w:marTop w:val="0"/>
      <w:marBottom w:val="0"/>
      <w:divBdr>
        <w:top w:val="none" w:sz="0" w:space="0" w:color="auto"/>
        <w:left w:val="none" w:sz="0" w:space="0" w:color="auto"/>
        <w:bottom w:val="none" w:sz="0" w:space="0" w:color="auto"/>
        <w:right w:val="none" w:sz="0" w:space="0" w:color="auto"/>
      </w:divBdr>
    </w:div>
    <w:div w:id="132562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C80C3BB610FD4FB0E3845DA5F1ADA5" ma:contentTypeVersion="6" ma:contentTypeDescription="Create a new document." ma:contentTypeScope="" ma:versionID="629d126fa1ffd8871e2201c0daa8baa6">
  <xsd:schema xmlns:xsd="http://www.w3.org/2001/XMLSchema" xmlns:xs="http://www.w3.org/2001/XMLSchema" xmlns:p="http://schemas.microsoft.com/office/2006/metadata/properties" xmlns:ns2="0a7d1755-edef-4a42-b150-db345f2ad697" xmlns:ns3="10a364ca-6de3-45e7-a3ee-53a34f09fcbb" targetNamespace="http://schemas.microsoft.com/office/2006/metadata/properties" ma:root="true" ma:fieldsID="19dd50a48f11b02f3ede72cff678dff8" ns2:_="" ns3:_="">
    <xsd:import namespace="0a7d1755-edef-4a42-b150-db345f2ad697"/>
    <xsd:import namespace="10a364ca-6de3-45e7-a3ee-53a34f09fc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d1755-edef-4a42-b150-db345f2ad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a364ca-6de3-45e7-a3ee-53a34f09fc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39CA04-BCDE-4267-8C4E-48FF3F8909B6}">
  <ds:schemaRefs>
    <ds:schemaRef ds:uri="http://schemas.openxmlformats.org/officeDocument/2006/bibliography"/>
  </ds:schemaRefs>
</ds:datastoreItem>
</file>

<file path=customXml/itemProps2.xml><?xml version="1.0" encoding="utf-8"?>
<ds:datastoreItem xmlns:ds="http://schemas.openxmlformats.org/officeDocument/2006/customXml" ds:itemID="{F09B6E7C-1A1B-44CD-9063-92817CCDB9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CFAE1C-E7D3-4C50-8D04-80C65ADBD8F8}">
  <ds:schemaRefs>
    <ds:schemaRef ds:uri="http://schemas.microsoft.com/sharepoint/v3/contenttype/forms"/>
  </ds:schemaRefs>
</ds:datastoreItem>
</file>

<file path=customXml/itemProps4.xml><?xml version="1.0" encoding="utf-8"?>
<ds:datastoreItem xmlns:ds="http://schemas.openxmlformats.org/officeDocument/2006/customXml" ds:itemID="{9EE28DDF-2814-4E9F-BBE4-E0DDAA53A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7d1755-edef-4a42-b150-db345f2ad697"/>
    <ds:schemaRef ds:uri="10a364ca-6de3-45e7-a3ee-53a34f09fc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e186a25-7d49-41e6-9941-05d2281d36c1}" enabled="0" method="" siteId="{fe186a25-7d49-41e6-9941-05d2281d36c1}" removed="1"/>
</clbl:labelList>
</file>

<file path=docProps/app.xml><?xml version="1.0" encoding="utf-8"?>
<Properties xmlns="http://schemas.openxmlformats.org/officeDocument/2006/extended-properties" xmlns:vt="http://schemas.openxmlformats.org/officeDocument/2006/docPropsVTypes">
  <Template>Normal</Template>
  <TotalTime>16</TotalTime>
  <Pages>6</Pages>
  <Words>1147</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San Francisco Bay Regional Water Quality Control Board - Memo</vt:lpstr>
    </vt:vector>
  </TitlesOfParts>
  <Company/>
  <LinksUpToDate>false</LinksUpToDate>
  <CharactersWithSpaces>7546</CharactersWithSpaces>
  <SharedDoc>false</SharedDoc>
  <HLinks>
    <vt:vector size="6" baseType="variant">
      <vt:variant>
        <vt:i4>4325480</vt:i4>
      </vt:variant>
      <vt:variant>
        <vt:i4>0</vt:i4>
      </vt:variant>
      <vt:variant>
        <vt:i4>0</vt:i4>
      </vt:variant>
      <vt:variant>
        <vt:i4>5</vt:i4>
      </vt:variant>
      <vt:variant>
        <vt:lpwstr>mailto:tong.yin@waterboards.ca.gov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Francisco Bay Regional Water Quality Control Board - Memo</dc:title>
  <dc:subject/>
  <dc:creator>Martinez, Gerardo@Waterboards</dc:creator>
  <cp:keywords/>
  <dc:description/>
  <cp:lastModifiedBy>Yin, Tong@Waterboards</cp:lastModifiedBy>
  <cp:revision>8</cp:revision>
  <dcterms:created xsi:type="dcterms:W3CDTF">2025-06-10T22:45:00Z</dcterms:created>
  <dcterms:modified xsi:type="dcterms:W3CDTF">2025-06-10T23:02:00Z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0x010100E9C80C3BB610FD4FB0E3845DA5F1ADA5</vt:lpwstr>
  </property>
</Properties>
</file>